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4C9" w:rsidRPr="00C9277E" w:rsidRDefault="00C354C9" w:rsidP="00C9277E">
      <w:pPr>
        <w:jc w:val="center"/>
        <w:rPr>
          <w:rFonts w:ascii="Arial" w:hAnsi="Arial" w:cs="Arial"/>
          <w:b/>
          <w:sz w:val="22"/>
        </w:rPr>
      </w:pPr>
      <w:r w:rsidRPr="00C9277E">
        <w:rPr>
          <w:rFonts w:ascii="Arial" w:hAnsi="Arial" w:cs="Arial"/>
          <w:b/>
          <w:sz w:val="22"/>
        </w:rPr>
        <w:t>Comments on the draft paper “Refining our options for delivering new homes” to be presented to Cabinet on 18</w:t>
      </w:r>
      <w:r w:rsidRPr="00C9277E">
        <w:rPr>
          <w:rFonts w:ascii="Arial" w:hAnsi="Arial" w:cs="Arial"/>
          <w:b/>
          <w:sz w:val="22"/>
          <w:vertAlign w:val="superscript"/>
        </w:rPr>
        <w:t>th</w:t>
      </w:r>
      <w:r w:rsidRPr="00C9277E">
        <w:rPr>
          <w:rFonts w:ascii="Arial" w:hAnsi="Arial" w:cs="Arial"/>
          <w:b/>
          <w:sz w:val="22"/>
        </w:rPr>
        <w:t xml:space="preserve"> November 2015.</w:t>
      </w:r>
    </w:p>
    <w:p w:rsidR="00C354C9" w:rsidRPr="00C9277E" w:rsidRDefault="00C354C9" w:rsidP="00C9277E">
      <w:pPr>
        <w:jc w:val="center"/>
        <w:rPr>
          <w:rFonts w:ascii="Arial" w:hAnsi="Arial" w:cs="Arial"/>
          <w:b/>
          <w:sz w:val="22"/>
        </w:rPr>
      </w:pPr>
      <w:r w:rsidRPr="00C9277E">
        <w:rPr>
          <w:rFonts w:ascii="Arial" w:hAnsi="Arial" w:cs="Arial"/>
          <w:b/>
          <w:sz w:val="22"/>
        </w:rPr>
        <w:t>From Winchfield Action Group and We Heart Hart</w:t>
      </w:r>
    </w:p>
    <w:p w:rsidR="00C354C9" w:rsidRDefault="00C354C9" w:rsidP="00C01053">
      <w:pPr>
        <w:rPr>
          <w:rFonts w:ascii="Arial" w:hAnsi="Arial" w:cs="Arial"/>
          <w:sz w:val="22"/>
        </w:rPr>
      </w:pPr>
    </w:p>
    <w:p w:rsidR="00C9277E" w:rsidRPr="00C9277E" w:rsidRDefault="00C9277E" w:rsidP="00C01053">
      <w:pPr>
        <w:rPr>
          <w:rFonts w:ascii="Arial" w:hAnsi="Arial" w:cs="Arial"/>
          <w:sz w:val="22"/>
        </w:rPr>
      </w:pPr>
    </w:p>
    <w:p w:rsidR="00C354C9" w:rsidRPr="00C9277E" w:rsidRDefault="00C354C9" w:rsidP="00C01053">
      <w:pPr>
        <w:rPr>
          <w:rFonts w:ascii="Arial" w:hAnsi="Arial" w:cs="Arial"/>
          <w:sz w:val="22"/>
        </w:rPr>
      </w:pPr>
      <w:r w:rsidRPr="00C9277E">
        <w:rPr>
          <w:rFonts w:ascii="Arial" w:hAnsi="Arial" w:cs="Arial"/>
          <w:sz w:val="22"/>
        </w:rPr>
        <w:t xml:space="preserve">The Options </w:t>
      </w:r>
      <w:r w:rsidR="0006686F" w:rsidRPr="00C9277E">
        <w:rPr>
          <w:rFonts w:ascii="Arial" w:hAnsi="Arial" w:cs="Arial"/>
          <w:sz w:val="22"/>
        </w:rPr>
        <w:t xml:space="preserve">Paper </w:t>
      </w:r>
      <w:r w:rsidRPr="00C9277E">
        <w:rPr>
          <w:rFonts w:ascii="Arial" w:hAnsi="Arial" w:cs="Arial"/>
          <w:sz w:val="22"/>
        </w:rPr>
        <w:t>you plan to present to the public for consultation contain</w:t>
      </w:r>
      <w:r w:rsidR="006947F7" w:rsidRPr="00C9277E">
        <w:rPr>
          <w:rFonts w:ascii="Arial" w:hAnsi="Arial" w:cs="Arial"/>
          <w:sz w:val="22"/>
        </w:rPr>
        <w:t>s</w:t>
      </w:r>
      <w:r w:rsidRPr="00C9277E">
        <w:rPr>
          <w:rFonts w:ascii="Arial" w:hAnsi="Arial" w:cs="Arial"/>
          <w:sz w:val="22"/>
        </w:rPr>
        <w:t xml:space="preserve"> the following fundamental flaws:</w:t>
      </w:r>
    </w:p>
    <w:p w:rsidR="00E41A0D" w:rsidRPr="00C9277E" w:rsidRDefault="00E41A0D" w:rsidP="00C01053">
      <w:pPr>
        <w:rPr>
          <w:rFonts w:ascii="Arial" w:hAnsi="Arial" w:cs="Arial"/>
          <w:sz w:val="22"/>
        </w:rPr>
      </w:pPr>
    </w:p>
    <w:p w:rsidR="00C354C9" w:rsidRDefault="00C354C9" w:rsidP="00C01053">
      <w:pPr>
        <w:rPr>
          <w:rFonts w:ascii="Arial" w:hAnsi="Arial" w:cs="Arial"/>
          <w:b/>
          <w:sz w:val="22"/>
        </w:rPr>
      </w:pPr>
      <w:r w:rsidRPr="00C9277E">
        <w:rPr>
          <w:rFonts w:ascii="Arial" w:hAnsi="Arial" w:cs="Arial"/>
          <w:b/>
          <w:sz w:val="22"/>
        </w:rPr>
        <w:t>General</w:t>
      </w:r>
    </w:p>
    <w:p w:rsidR="00C9277E" w:rsidRPr="00C9277E" w:rsidRDefault="00C9277E" w:rsidP="00C01053">
      <w:pPr>
        <w:rPr>
          <w:rFonts w:ascii="Arial" w:hAnsi="Arial" w:cs="Arial"/>
          <w:b/>
          <w:sz w:val="22"/>
        </w:rPr>
      </w:pPr>
    </w:p>
    <w:p w:rsidR="00227908" w:rsidRPr="00C9277E" w:rsidRDefault="00227908" w:rsidP="00C01053">
      <w:pPr>
        <w:rPr>
          <w:rFonts w:ascii="Arial" w:hAnsi="Arial" w:cs="Arial"/>
          <w:sz w:val="22"/>
        </w:rPr>
      </w:pPr>
      <w:r w:rsidRPr="00C9277E">
        <w:rPr>
          <w:rFonts w:ascii="Arial" w:hAnsi="Arial" w:cs="Arial"/>
          <w:sz w:val="22"/>
        </w:rPr>
        <w:t>You have not given clear instructions to the consultees</w:t>
      </w:r>
      <w:r w:rsidR="0006686F" w:rsidRPr="00C9277E">
        <w:rPr>
          <w:rFonts w:ascii="Arial" w:hAnsi="Arial" w:cs="Arial"/>
          <w:sz w:val="22"/>
        </w:rPr>
        <w:t>. T</w:t>
      </w:r>
      <w:r w:rsidRPr="00C9277E">
        <w:rPr>
          <w:rFonts w:ascii="Arial" w:hAnsi="Arial" w:cs="Arial"/>
          <w:sz w:val="22"/>
        </w:rPr>
        <w:t xml:space="preserve">he consultation in 2014 resulted in 684 responses 19.5% of which were discounted as the paper had not been correctly completed. 550 were correctly completed and used for analysis. This options paper is even more complicated and you </w:t>
      </w:r>
      <w:r w:rsidR="007E230C" w:rsidRPr="00C9277E">
        <w:rPr>
          <w:rFonts w:ascii="Arial" w:hAnsi="Arial" w:cs="Arial"/>
          <w:sz w:val="22"/>
        </w:rPr>
        <w:t>must</w:t>
      </w:r>
      <w:r w:rsidRPr="00C9277E">
        <w:rPr>
          <w:rFonts w:ascii="Arial" w:hAnsi="Arial" w:cs="Arial"/>
          <w:sz w:val="22"/>
        </w:rPr>
        <w:t xml:space="preserve"> </w:t>
      </w:r>
      <w:r w:rsidR="007E230C" w:rsidRPr="00C9277E">
        <w:rPr>
          <w:rFonts w:ascii="Arial" w:hAnsi="Arial" w:cs="Arial"/>
          <w:sz w:val="22"/>
        </w:rPr>
        <w:t>give</w:t>
      </w:r>
      <w:r w:rsidRPr="00C9277E">
        <w:rPr>
          <w:rFonts w:ascii="Arial" w:hAnsi="Arial" w:cs="Arial"/>
          <w:sz w:val="22"/>
        </w:rPr>
        <w:t xml:space="preserve"> </w:t>
      </w:r>
      <w:r w:rsidR="007E230C" w:rsidRPr="00C9277E">
        <w:rPr>
          <w:rFonts w:ascii="Arial" w:hAnsi="Arial" w:cs="Arial"/>
          <w:sz w:val="22"/>
        </w:rPr>
        <w:t>clear</w:t>
      </w:r>
      <w:r w:rsidRPr="00C9277E">
        <w:rPr>
          <w:rFonts w:ascii="Arial" w:hAnsi="Arial" w:cs="Arial"/>
          <w:sz w:val="22"/>
        </w:rPr>
        <w:t xml:space="preserve"> guidelines</w:t>
      </w:r>
      <w:r w:rsidR="0006686F" w:rsidRPr="00C9277E">
        <w:rPr>
          <w:rFonts w:ascii="Arial" w:hAnsi="Arial" w:cs="Arial"/>
          <w:sz w:val="22"/>
        </w:rPr>
        <w:t xml:space="preserve"> </w:t>
      </w:r>
      <w:r w:rsidR="00D313EF" w:rsidRPr="00C9277E">
        <w:rPr>
          <w:rFonts w:ascii="Arial" w:hAnsi="Arial" w:cs="Arial"/>
          <w:sz w:val="22"/>
        </w:rPr>
        <w:t>e.g.</w:t>
      </w:r>
      <w:r w:rsidRPr="00C9277E">
        <w:rPr>
          <w:rFonts w:ascii="Arial" w:hAnsi="Arial" w:cs="Arial"/>
          <w:sz w:val="22"/>
        </w:rPr>
        <w:t>:</w:t>
      </w:r>
    </w:p>
    <w:p w:rsidR="00227908" w:rsidRPr="00C9277E" w:rsidRDefault="00227908" w:rsidP="0006686F">
      <w:pPr>
        <w:pStyle w:val="ListParagraph"/>
        <w:numPr>
          <w:ilvl w:val="0"/>
          <w:numId w:val="3"/>
        </w:numPr>
        <w:rPr>
          <w:rFonts w:ascii="Arial" w:hAnsi="Arial" w:cs="Arial"/>
          <w:sz w:val="22"/>
        </w:rPr>
      </w:pPr>
      <w:r w:rsidRPr="00C9277E">
        <w:rPr>
          <w:rFonts w:ascii="Arial" w:hAnsi="Arial" w:cs="Arial"/>
          <w:sz w:val="22"/>
        </w:rPr>
        <w:t xml:space="preserve">If all questions are not answered will the entire paper be </w:t>
      </w:r>
      <w:r w:rsidR="00EB3E40" w:rsidRPr="00C9277E">
        <w:rPr>
          <w:rFonts w:ascii="Arial" w:hAnsi="Arial" w:cs="Arial"/>
          <w:sz w:val="22"/>
        </w:rPr>
        <w:t>discounted?</w:t>
      </w:r>
      <w:r w:rsidR="0006686F" w:rsidRPr="00C9277E">
        <w:rPr>
          <w:rFonts w:ascii="Arial" w:hAnsi="Arial" w:cs="Arial"/>
          <w:sz w:val="22"/>
        </w:rPr>
        <w:t xml:space="preserve"> (</w:t>
      </w:r>
      <w:r w:rsidRPr="00C9277E">
        <w:rPr>
          <w:rFonts w:ascii="Arial" w:hAnsi="Arial" w:cs="Arial"/>
          <w:sz w:val="22"/>
        </w:rPr>
        <w:t xml:space="preserve"> if not why </w:t>
      </w:r>
      <w:r w:rsidR="007E230C" w:rsidRPr="00C9277E">
        <w:rPr>
          <w:rFonts w:ascii="Arial" w:hAnsi="Arial" w:cs="Arial"/>
          <w:sz w:val="22"/>
        </w:rPr>
        <w:t>not</w:t>
      </w:r>
      <w:r w:rsidRPr="00C9277E">
        <w:rPr>
          <w:rFonts w:ascii="Arial" w:hAnsi="Arial" w:cs="Arial"/>
          <w:sz w:val="22"/>
        </w:rPr>
        <w:t xml:space="preserve">? </w:t>
      </w:r>
      <w:r w:rsidR="0006686F" w:rsidRPr="00C9277E">
        <w:rPr>
          <w:rFonts w:ascii="Arial" w:hAnsi="Arial" w:cs="Arial"/>
          <w:sz w:val="22"/>
        </w:rPr>
        <w:t>)</w:t>
      </w:r>
    </w:p>
    <w:p w:rsidR="00227908" w:rsidRPr="00C9277E" w:rsidRDefault="00227908" w:rsidP="0006686F">
      <w:pPr>
        <w:pStyle w:val="ListParagraph"/>
        <w:numPr>
          <w:ilvl w:val="0"/>
          <w:numId w:val="3"/>
        </w:numPr>
        <w:rPr>
          <w:rFonts w:ascii="Arial" w:hAnsi="Arial" w:cs="Arial"/>
          <w:sz w:val="22"/>
        </w:rPr>
      </w:pPr>
      <w:r w:rsidRPr="00C9277E">
        <w:rPr>
          <w:rFonts w:ascii="Arial" w:hAnsi="Arial" w:cs="Arial"/>
          <w:sz w:val="22"/>
        </w:rPr>
        <w:t xml:space="preserve">Preferences must be shown using 1, 2 and 3 to rank preferences where 1 = most preferred, if this is not done </w:t>
      </w:r>
      <w:r w:rsidR="006947F7" w:rsidRPr="00C9277E">
        <w:rPr>
          <w:rFonts w:ascii="Arial" w:hAnsi="Arial" w:cs="Arial"/>
          <w:sz w:val="22"/>
        </w:rPr>
        <w:t xml:space="preserve">the response will </w:t>
      </w:r>
      <w:r w:rsidRPr="00C9277E">
        <w:rPr>
          <w:rFonts w:ascii="Arial" w:hAnsi="Arial" w:cs="Arial"/>
          <w:sz w:val="22"/>
        </w:rPr>
        <w:t xml:space="preserve">be discounted. </w:t>
      </w:r>
    </w:p>
    <w:p w:rsidR="00227908" w:rsidRPr="00C9277E" w:rsidRDefault="0006686F" w:rsidP="006947F7">
      <w:pPr>
        <w:pStyle w:val="ListParagraph"/>
        <w:numPr>
          <w:ilvl w:val="0"/>
          <w:numId w:val="3"/>
        </w:numPr>
        <w:rPr>
          <w:rFonts w:ascii="Arial" w:hAnsi="Arial" w:cs="Arial"/>
          <w:sz w:val="22"/>
        </w:rPr>
      </w:pPr>
      <w:r w:rsidRPr="00C9277E">
        <w:rPr>
          <w:rFonts w:ascii="Arial" w:hAnsi="Arial" w:cs="Arial"/>
          <w:sz w:val="22"/>
        </w:rPr>
        <w:t xml:space="preserve">If a question does not have clearly defined options but just asks for </w:t>
      </w:r>
      <w:r w:rsidR="00332CC7" w:rsidRPr="00C9277E">
        <w:rPr>
          <w:rFonts w:ascii="Arial" w:hAnsi="Arial" w:cs="Arial"/>
          <w:sz w:val="22"/>
        </w:rPr>
        <w:t xml:space="preserve">views or </w:t>
      </w:r>
      <w:r w:rsidRPr="00C9277E">
        <w:rPr>
          <w:rFonts w:ascii="Arial" w:hAnsi="Arial" w:cs="Arial"/>
          <w:sz w:val="22"/>
        </w:rPr>
        <w:t>comments will it be discounted if not completed?</w:t>
      </w:r>
    </w:p>
    <w:p w:rsidR="0006686F" w:rsidRPr="00C9277E" w:rsidRDefault="0006686F" w:rsidP="0006686F">
      <w:pPr>
        <w:rPr>
          <w:rFonts w:ascii="Arial" w:hAnsi="Arial" w:cs="Arial"/>
          <w:sz w:val="22"/>
        </w:rPr>
      </w:pPr>
    </w:p>
    <w:p w:rsidR="006947F7" w:rsidRPr="00C9277E" w:rsidRDefault="00C354C9" w:rsidP="00C01053">
      <w:pPr>
        <w:rPr>
          <w:rFonts w:ascii="Arial" w:hAnsi="Arial" w:cs="Arial"/>
          <w:sz w:val="22"/>
        </w:rPr>
      </w:pPr>
      <w:r w:rsidRPr="00C9277E">
        <w:rPr>
          <w:rFonts w:ascii="Arial" w:hAnsi="Arial" w:cs="Arial"/>
          <w:sz w:val="22"/>
        </w:rPr>
        <w:t xml:space="preserve">Although it has been pointed out on several occasions by Councillors and by </w:t>
      </w:r>
      <w:r w:rsidR="007E230C" w:rsidRPr="00C9277E">
        <w:rPr>
          <w:rFonts w:ascii="Arial" w:hAnsi="Arial" w:cs="Arial"/>
          <w:sz w:val="22"/>
        </w:rPr>
        <w:t>us</w:t>
      </w:r>
      <w:r w:rsidRPr="00C9277E">
        <w:rPr>
          <w:rFonts w:ascii="Arial" w:hAnsi="Arial" w:cs="Arial"/>
          <w:sz w:val="22"/>
        </w:rPr>
        <w:t xml:space="preserve"> the maps do not show the extent of development at St Marys Hartley Wintney</w:t>
      </w:r>
      <w:r w:rsidR="0006686F" w:rsidRPr="00C9277E">
        <w:rPr>
          <w:rFonts w:ascii="Arial" w:hAnsi="Arial" w:cs="Arial"/>
          <w:sz w:val="22"/>
        </w:rPr>
        <w:t xml:space="preserve">, </w:t>
      </w:r>
      <w:r w:rsidRPr="00C9277E">
        <w:rPr>
          <w:rFonts w:ascii="Arial" w:hAnsi="Arial" w:cs="Arial"/>
          <w:sz w:val="22"/>
        </w:rPr>
        <w:t>Edenbrook</w:t>
      </w:r>
      <w:r w:rsidR="0006686F" w:rsidRPr="00C9277E">
        <w:rPr>
          <w:rFonts w:ascii="Arial" w:hAnsi="Arial" w:cs="Arial"/>
          <w:sz w:val="22"/>
        </w:rPr>
        <w:t xml:space="preserve"> or the other developments noted on page 14, item #26</w:t>
      </w:r>
      <w:r w:rsidR="00332CC7" w:rsidRPr="00C9277E">
        <w:rPr>
          <w:rFonts w:ascii="Arial" w:hAnsi="Arial" w:cs="Arial"/>
          <w:sz w:val="22"/>
        </w:rPr>
        <w:t xml:space="preserve"> and #27</w:t>
      </w:r>
      <w:r w:rsidRPr="00C9277E">
        <w:rPr>
          <w:rFonts w:ascii="Arial" w:hAnsi="Arial" w:cs="Arial"/>
          <w:sz w:val="22"/>
        </w:rPr>
        <w:t xml:space="preserve">, either completed or </w:t>
      </w:r>
      <w:r w:rsidR="006947F7" w:rsidRPr="00C9277E">
        <w:rPr>
          <w:rFonts w:ascii="Arial" w:hAnsi="Arial" w:cs="Arial"/>
          <w:sz w:val="22"/>
        </w:rPr>
        <w:t xml:space="preserve">with planning approval granted. </w:t>
      </w:r>
    </w:p>
    <w:p w:rsidR="00250279" w:rsidRPr="00C9277E" w:rsidRDefault="00C354C9" w:rsidP="00C01053">
      <w:pPr>
        <w:rPr>
          <w:rFonts w:ascii="Arial" w:hAnsi="Arial" w:cs="Arial"/>
          <w:sz w:val="22"/>
        </w:rPr>
      </w:pPr>
      <w:r w:rsidRPr="00C9277E">
        <w:rPr>
          <w:rFonts w:ascii="Arial" w:hAnsi="Arial" w:cs="Arial"/>
          <w:sz w:val="22"/>
        </w:rPr>
        <w:t xml:space="preserve"> </w:t>
      </w:r>
    </w:p>
    <w:p w:rsidR="00C354C9" w:rsidRPr="00C9277E" w:rsidRDefault="001F3E81" w:rsidP="00C01053">
      <w:pPr>
        <w:rPr>
          <w:rFonts w:ascii="Arial" w:hAnsi="Arial" w:cs="Arial"/>
          <w:sz w:val="22"/>
        </w:rPr>
      </w:pPr>
      <w:r w:rsidRPr="00C9277E">
        <w:rPr>
          <w:rFonts w:ascii="Arial" w:hAnsi="Arial" w:cs="Arial"/>
          <w:sz w:val="22"/>
        </w:rPr>
        <w:t>To correspond with the tables of data you provide</w:t>
      </w:r>
      <w:r w:rsidR="00A56C5E">
        <w:rPr>
          <w:rFonts w:ascii="Arial" w:hAnsi="Arial" w:cs="Arial"/>
          <w:sz w:val="22"/>
        </w:rPr>
        <w:t>,</w:t>
      </w:r>
      <w:r w:rsidRPr="00C9277E">
        <w:rPr>
          <w:rFonts w:ascii="Arial" w:hAnsi="Arial" w:cs="Arial"/>
          <w:sz w:val="22"/>
        </w:rPr>
        <w:t xml:space="preserve"> all maps must show visual representation of any </w:t>
      </w:r>
      <w:r w:rsidR="00A56C5E">
        <w:rPr>
          <w:rFonts w:ascii="Arial" w:hAnsi="Arial" w:cs="Arial"/>
          <w:sz w:val="22"/>
        </w:rPr>
        <w:t xml:space="preserve">of </w:t>
      </w:r>
      <w:r w:rsidRPr="00C9277E">
        <w:rPr>
          <w:rFonts w:ascii="Arial" w:hAnsi="Arial" w:cs="Arial"/>
          <w:sz w:val="22"/>
        </w:rPr>
        <w:t>the site application</w:t>
      </w:r>
      <w:r w:rsidR="00250279" w:rsidRPr="00C9277E">
        <w:rPr>
          <w:rFonts w:ascii="Arial" w:hAnsi="Arial" w:cs="Arial"/>
          <w:sz w:val="22"/>
        </w:rPr>
        <w:t>s</w:t>
      </w:r>
      <w:r w:rsidRPr="00C9277E">
        <w:rPr>
          <w:rFonts w:ascii="Arial" w:hAnsi="Arial" w:cs="Arial"/>
          <w:sz w:val="22"/>
        </w:rPr>
        <w:t xml:space="preserve"> approved at the time the Options paper is printed. The maps </w:t>
      </w:r>
      <w:r w:rsidR="007221D3" w:rsidRPr="00C9277E">
        <w:rPr>
          <w:rFonts w:ascii="Arial" w:hAnsi="Arial" w:cs="Arial"/>
          <w:sz w:val="22"/>
        </w:rPr>
        <w:t xml:space="preserve">and tables must use the same </w:t>
      </w:r>
      <w:r w:rsidR="007E230C" w:rsidRPr="00C9277E">
        <w:rPr>
          <w:rFonts w:ascii="Arial" w:hAnsi="Arial" w:cs="Arial"/>
          <w:sz w:val="22"/>
        </w:rPr>
        <w:t>criteria;</w:t>
      </w:r>
      <w:r w:rsidR="007221D3" w:rsidRPr="00C9277E">
        <w:rPr>
          <w:rFonts w:ascii="Arial" w:hAnsi="Arial" w:cs="Arial"/>
          <w:sz w:val="22"/>
        </w:rPr>
        <w:t xml:space="preserve"> they are</w:t>
      </w:r>
      <w:r w:rsidRPr="00C9277E">
        <w:rPr>
          <w:rFonts w:ascii="Arial" w:hAnsi="Arial" w:cs="Arial"/>
          <w:sz w:val="22"/>
        </w:rPr>
        <w:t xml:space="preserve"> otherwise </w:t>
      </w:r>
      <w:r w:rsidR="00C354C9" w:rsidRPr="00C9277E">
        <w:rPr>
          <w:rFonts w:ascii="Arial" w:hAnsi="Arial" w:cs="Arial"/>
          <w:sz w:val="22"/>
        </w:rPr>
        <w:t xml:space="preserve">misleading </w:t>
      </w:r>
      <w:r w:rsidR="007E230C" w:rsidRPr="00C9277E">
        <w:rPr>
          <w:rFonts w:ascii="Arial" w:hAnsi="Arial" w:cs="Arial"/>
          <w:sz w:val="22"/>
        </w:rPr>
        <w:t>to the</w:t>
      </w:r>
      <w:r w:rsidR="00C354C9" w:rsidRPr="00C9277E">
        <w:rPr>
          <w:rFonts w:ascii="Arial" w:hAnsi="Arial" w:cs="Arial"/>
          <w:sz w:val="22"/>
        </w:rPr>
        <w:t xml:space="preserve"> public. </w:t>
      </w:r>
    </w:p>
    <w:p w:rsidR="00C354C9" w:rsidRPr="00C9277E" w:rsidRDefault="00C354C9" w:rsidP="00C01053">
      <w:pPr>
        <w:rPr>
          <w:rFonts w:ascii="Arial" w:hAnsi="Arial" w:cs="Arial"/>
          <w:sz w:val="22"/>
        </w:rPr>
      </w:pPr>
    </w:p>
    <w:p w:rsidR="00C354C9" w:rsidRPr="00C9277E" w:rsidRDefault="00C354C9" w:rsidP="00C01053">
      <w:pPr>
        <w:rPr>
          <w:rFonts w:ascii="Arial" w:hAnsi="Arial" w:cs="Arial"/>
          <w:sz w:val="22"/>
        </w:rPr>
      </w:pPr>
      <w:r w:rsidRPr="00C9277E">
        <w:rPr>
          <w:rFonts w:ascii="Arial" w:hAnsi="Arial" w:cs="Arial"/>
          <w:sz w:val="22"/>
        </w:rPr>
        <w:t xml:space="preserve">All maps should show the Parish </w:t>
      </w:r>
      <w:r w:rsidR="007E230C" w:rsidRPr="00C9277E">
        <w:rPr>
          <w:rFonts w:ascii="Arial" w:hAnsi="Arial" w:cs="Arial"/>
          <w:sz w:val="22"/>
        </w:rPr>
        <w:t>Boundaries</w:t>
      </w:r>
      <w:r w:rsidRPr="00C9277E">
        <w:rPr>
          <w:rFonts w:ascii="Arial" w:hAnsi="Arial" w:cs="Arial"/>
          <w:sz w:val="22"/>
        </w:rPr>
        <w:t xml:space="preserve"> to help readers understand the context of where development is planned and how it will affect them</w:t>
      </w:r>
      <w:r w:rsidR="006947F7" w:rsidRPr="00C9277E">
        <w:rPr>
          <w:rFonts w:ascii="Arial" w:hAnsi="Arial" w:cs="Arial"/>
          <w:sz w:val="22"/>
        </w:rPr>
        <w:t xml:space="preserve"> wherever they live in Hart.</w:t>
      </w:r>
    </w:p>
    <w:p w:rsidR="0006686F" w:rsidRPr="00C9277E" w:rsidRDefault="0006686F" w:rsidP="00C01053">
      <w:pPr>
        <w:rPr>
          <w:rFonts w:ascii="Arial" w:hAnsi="Arial" w:cs="Arial"/>
          <w:sz w:val="22"/>
        </w:rPr>
      </w:pPr>
    </w:p>
    <w:p w:rsidR="0006686F" w:rsidRPr="00C9277E" w:rsidRDefault="0006686F" w:rsidP="0006686F">
      <w:pPr>
        <w:rPr>
          <w:rFonts w:ascii="Arial" w:hAnsi="Arial" w:cs="Arial"/>
          <w:sz w:val="22"/>
        </w:rPr>
      </w:pPr>
      <w:r w:rsidRPr="00C9277E">
        <w:rPr>
          <w:rFonts w:ascii="Arial" w:hAnsi="Arial" w:cs="Arial"/>
          <w:sz w:val="22"/>
        </w:rPr>
        <w:t>Why have you only assumed 30dp</w:t>
      </w:r>
      <w:r w:rsidR="00F14834">
        <w:rPr>
          <w:rFonts w:ascii="Arial" w:hAnsi="Arial" w:cs="Arial"/>
          <w:sz w:val="22"/>
        </w:rPr>
        <w:t>h</w:t>
      </w:r>
      <w:r w:rsidRPr="00C9277E">
        <w:rPr>
          <w:rFonts w:ascii="Arial" w:hAnsi="Arial" w:cs="Arial"/>
          <w:sz w:val="22"/>
        </w:rPr>
        <w:t xml:space="preserve"> when calculating the development capacity for Fleet which is defined as an urban area and where density can be significantly higher, particularly where commercial use is changed to residential?</w:t>
      </w:r>
      <w:r w:rsidR="008174E0">
        <w:rPr>
          <w:rFonts w:ascii="Arial" w:hAnsi="Arial" w:cs="Arial"/>
          <w:sz w:val="22"/>
        </w:rPr>
        <w:t xml:space="preserve"> Have you given serious consideration to Fleet Future’s suggestion </w:t>
      </w:r>
      <w:r w:rsidR="00792F76">
        <w:rPr>
          <w:rFonts w:ascii="Arial" w:hAnsi="Arial" w:cs="Arial"/>
          <w:sz w:val="22"/>
        </w:rPr>
        <w:t>that you</w:t>
      </w:r>
      <w:r w:rsidR="008174E0">
        <w:rPr>
          <w:rFonts w:ascii="Arial" w:hAnsi="Arial" w:cs="Arial"/>
          <w:sz w:val="22"/>
        </w:rPr>
        <w:t xml:space="preserve"> could redevelop HDC offices, Harlington centre, Flagship House and Admiral House?</w:t>
      </w:r>
    </w:p>
    <w:p w:rsidR="00BA553F" w:rsidRPr="00C9277E" w:rsidRDefault="00BA553F" w:rsidP="0006686F">
      <w:pPr>
        <w:rPr>
          <w:rFonts w:ascii="Arial" w:hAnsi="Arial" w:cs="Arial"/>
          <w:sz w:val="22"/>
        </w:rPr>
      </w:pPr>
    </w:p>
    <w:p w:rsidR="00BA553F" w:rsidRPr="00C9277E" w:rsidRDefault="00BA553F" w:rsidP="00BA553F">
      <w:pPr>
        <w:rPr>
          <w:rFonts w:ascii="Arial" w:hAnsi="Arial" w:cs="Arial"/>
          <w:sz w:val="22"/>
        </w:rPr>
      </w:pPr>
      <w:r w:rsidRPr="00C9277E">
        <w:rPr>
          <w:rFonts w:ascii="Arial" w:hAnsi="Arial" w:cs="Arial"/>
          <w:sz w:val="22"/>
        </w:rPr>
        <w:t xml:space="preserve">Brownfield sites – we continue to believe that your assessments of developable brownfield sites and/or the dph which can be achieved on such sites is too low and this therefore impacts all your numbers. </w:t>
      </w:r>
    </w:p>
    <w:p w:rsidR="00C9277E" w:rsidRPr="00C9277E" w:rsidRDefault="00C9277E" w:rsidP="00BA553F">
      <w:pPr>
        <w:rPr>
          <w:rFonts w:ascii="Arial" w:hAnsi="Arial" w:cs="Arial"/>
          <w:sz w:val="22"/>
        </w:rPr>
      </w:pPr>
    </w:p>
    <w:p w:rsidR="00C9277E" w:rsidRPr="00C9277E" w:rsidRDefault="00C9277E" w:rsidP="00C9277E">
      <w:pPr>
        <w:spacing w:before="240" w:after="240"/>
        <w:textAlignment w:val="baseline"/>
        <w:rPr>
          <w:rFonts w:ascii="Arial" w:eastAsia="Times New Roman" w:hAnsi="Arial" w:cs="Arial"/>
          <w:sz w:val="22"/>
          <w:szCs w:val="20"/>
        </w:rPr>
      </w:pPr>
      <w:r w:rsidRPr="00C9277E">
        <w:rPr>
          <w:rFonts w:ascii="Arial" w:eastAsia="Times New Roman" w:hAnsi="Arial" w:cs="Arial"/>
          <w:sz w:val="22"/>
          <w:szCs w:val="20"/>
        </w:rPr>
        <w:t>The SHMA is currently being revised and likely to reduce the housing need. An independent expert, Alan Wenban-Smith, has reviewed the housing needs assessment and concluded that Hart District is being asked to build too many houses.  He says that the overall house-building rate for Hart should fall from 370 to 268 dwell</w:t>
      </w:r>
      <w:r w:rsidR="002E614F">
        <w:rPr>
          <w:rFonts w:ascii="Arial" w:eastAsia="Times New Roman" w:hAnsi="Arial" w:cs="Arial"/>
          <w:sz w:val="22"/>
          <w:szCs w:val="20"/>
        </w:rPr>
        <w:t>ings per annum.  Given that Wessex Economics</w:t>
      </w:r>
      <w:r w:rsidRPr="00C9277E">
        <w:rPr>
          <w:rFonts w:ascii="Arial" w:eastAsia="Times New Roman" w:hAnsi="Arial" w:cs="Arial"/>
          <w:sz w:val="22"/>
          <w:szCs w:val="20"/>
        </w:rPr>
        <w:t xml:space="preserve"> are reviewing the SHMA and that the Joint CEO only last week agreed that this report required further analysis must call into question the validity of carrying out a new Housing Options consultation now when there is serious doubt about the acc</w:t>
      </w:r>
      <w:r>
        <w:rPr>
          <w:rFonts w:ascii="Arial" w:eastAsia="Times New Roman" w:hAnsi="Arial" w:cs="Arial"/>
          <w:sz w:val="22"/>
          <w:szCs w:val="20"/>
        </w:rPr>
        <w:t xml:space="preserve">uracy of the housing numbers that </w:t>
      </w:r>
      <w:r w:rsidRPr="00C9277E">
        <w:rPr>
          <w:rFonts w:ascii="Arial" w:eastAsia="Times New Roman" w:hAnsi="Arial" w:cs="Arial"/>
          <w:sz w:val="22"/>
          <w:szCs w:val="20"/>
        </w:rPr>
        <w:t>need to</w:t>
      </w:r>
      <w:r>
        <w:rPr>
          <w:rFonts w:ascii="Arial" w:eastAsia="Times New Roman" w:hAnsi="Arial" w:cs="Arial"/>
          <w:sz w:val="22"/>
          <w:szCs w:val="20"/>
        </w:rPr>
        <w:t xml:space="preserve"> be </w:t>
      </w:r>
      <w:r w:rsidRPr="00C9277E">
        <w:rPr>
          <w:rFonts w:ascii="Arial" w:eastAsia="Times New Roman" w:hAnsi="Arial" w:cs="Arial"/>
          <w:sz w:val="22"/>
          <w:szCs w:val="20"/>
        </w:rPr>
        <w:t>deliver</w:t>
      </w:r>
      <w:r>
        <w:rPr>
          <w:rFonts w:ascii="Arial" w:eastAsia="Times New Roman" w:hAnsi="Arial" w:cs="Arial"/>
          <w:sz w:val="22"/>
          <w:szCs w:val="20"/>
        </w:rPr>
        <w:t>ed</w:t>
      </w:r>
      <w:r w:rsidRPr="00C9277E">
        <w:rPr>
          <w:rFonts w:ascii="Arial" w:eastAsia="Times New Roman" w:hAnsi="Arial" w:cs="Arial"/>
          <w:sz w:val="22"/>
          <w:szCs w:val="20"/>
        </w:rPr>
        <w:t>.</w:t>
      </w:r>
    </w:p>
    <w:p w:rsidR="00C9277E" w:rsidRPr="00C9277E" w:rsidRDefault="00C9277E" w:rsidP="00BA553F">
      <w:pPr>
        <w:rPr>
          <w:rFonts w:ascii="Arial" w:hAnsi="Arial" w:cs="Arial"/>
          <w:sz w:val="22"/>
        </w:rPr>
      </w:pPr>
    </w:p>
    <w:p w:rsidR="00C9277E" w:rsidRDefault="00C9277E" w:rsidP="00BA553F">
      <w:pPr>
        <w:rPr>
          <w:rFonts w:ascii="Arial" w:hAnsi="Arial" w:cs="Arial"/>
          <w:sz w:val="22"/>
        </w:rPr>
      </w:pPr>
    </w:p>
    <w:p w:rsidR="00C9277E" w:rsidRDefault="00C9277E" w:rsidP="00BA553F">
      <w:pPr>
        <w:rPr>
          <w:rFonts w:ascii="Arial" w:hAnsi="Arial" w:cs="Arial"/>
          <w:sz w:val="22"/>
        </w:rPr>
      </w:pPr>
    </w:p>
    <w:p w:rsidR="007A7D0C" w:rsidRDefault="00C9277E" w:rsidP="00C01053">
      <w:pPr>
        <w:rPr>
          <w:rFonts w:ascii="Arial" w:hAnsi="Arial" w:cs="Arial"/>
          <w:b/>
          <w:sz w:val="22"/>
        </w:rPr>
      </w:pPr>
      <w:r w:rsidRPr="00C9277E">
        <w:rPr>
          <w:rFonts w:ascii="Arial" w:hAnsi="Arial" w:cs="Arial"/>
          <w:b/>
          <w:sz w:val="22"/>
        </w:rPr>
        <w:lastRenderedPageBreak/>
        <w:t>Specific</w:t>
      </w:r>
      <w:r w:rsidR="0006686F" w:rsidRPr="00C9277E">
        <w:rPr>
          <w:rFonts w:ascii="Arial" w:hAnsi="Arial" w:cs="Arial"/>
          <w:b/>
          <w:sz w:val="22"/>
        </w:rPr>
        <w:t xml:space="preserve"> </w:t>
      </w:r>
    </w:p>
    <w:p w:rsidR="00C9277E" w:rsidRPr="00C9277E" w:rsidRDefault="00C9277E" w:rsidP="00C01053">
      <w:pPr>
        <w:rPr>
          <w:rFonts w:ascii="Arial" w:hAnsi="Arial" w:cs="Arial"/>
          <w:b/>
          <w:sz w:val="22"/>
        </w:rPr>
      </w:pPr>
    </w:p>
    <w:p w:rsidR="007A7D0C" w:rsidRPr="00C9277E" w:rsidRDefault="007A7D0C" w:rsidP="007A7D0C">
      <w:pPr>
        <w:rPr>
          <w:rFonts w:ascii="Arial" w:hAnsi="Arial" w:cs="Arial"/>
          <w:sz w:val="22"/>
        </w:rPr>
      </w:pPr>
      <w:r w:rsidRPr="00C9277E">
        <w:rPr>
          <w:rFonts w:ascii="Arial" w:hAnsi="Arial" w:cs="Arial"/>
          <w:sz w:val="22"/>
        </w:rPr>
        <w:t>Page 7</w:t>
      </w:r>
    </w:p>
    <w:p w:rsidR="007A7D0C" w:rsidRPr="00C9277E" w:rsidRDefault="007A7D0C" w:rsidP="007A7D0C">
      <w:pPr>
        <w:rPr>
          <w:rFonts w:ascii="Arial" w:hAnsi="Arial" w:cs="Arial"/>
          <w:sz w:val="22"/>
        </w:rPr>
      </w:pPr>
      <w:r w:rsidRPr="00C9277E">
        <w:rPr>
          <w:rFonts w:ascii="Arial" w:hAnsi="Arial" w:cs="Arial"/>
          <w:sz w:val="22"/>
        </w:rPr>
        <w:t xml:space="preserve">Regarding the October 2014 consultation </w:t>
      </w:r>
      <w:r w:rsidR="00580A82" w:rsidRPr="00C9277E">
        <w:rPr>
          <w:rFonts w:ascii="Arial" w:hAnsi="Arial" w:cs="Arial"/>
          <w:sz w:val="22"/>
        </w:rPr>
        <w:t xml:space="preserve">your statement is </w:t>
      </w:r>
      <w:r w:rsidRPr="00C9277E">
        <w:rPr>
          <w:rFonts w:ascii="Arial" w:hAnsi="Arial" w:cs="Arial"/>
          <w:sz w:val="22"/>
        </w:rPr>
        <w:t>misleading.</w:t>
      </w:r>
    </w:p>
    <w:p w:rsidR="007A7D0C" w:rsidRPr="00C9277E" w:rsidRDefault="007A7D0C" w:rsidP="007A7D0C">
      <w:pPr>
        <w:rPr>
          <w:rFonts w:ascii="Arial" w:hAnsi="Arial" w:cs="Arial"/>
          <w:sz w:val="22"/>
        </w:rPr>
      </w:pPr>
      <w:r w:rsidRPr="00C9277E">
        <w:rPr>
          <w:rFonts w:ascii="Arial" w:hAnsi="Arial" w:cs="Arial"/>
          <w:sz w:val="22"/>
        </w:rPr>
        <w:t xml:space="preserve"> "We received 684 responses to our consultation, which have helped us refine our new home distribution options.  This statement is misleading as you clearly state in the </w:t>
      </w:r>
      <w:r w:rsidR="00E41A0D" w:rsidRPr="00C9277E">
        <w:rPr>
          <w:rFonts w:ascii="Arial" w:hAnsi="Arial" w:cs="Arial"/>
          <w:sz w:val="22"/>
        </w:rPr>
        <w:t xml:space="preserve">summary of responses </w:t>
      </w:r>
      <w:r w:rsidR="00D313EF" w:rsidRPr="00C9277E">
        <w:rPr>
          <w:rFonts w:ascii="Arial" w:hAnsi="Arial" w:cs="Arial"/>
          <w:sz w:val="22"/>
        </w:rPr>
        <w:t>that</w:t>
      </w:r>
      <w:r w:rsidR="00580A82" w:rsidRPr="00C9277E">
        <w:rPr>
          <w:rFonts w:ascii="Arial" w:hAnsi="Arial" w:cs="Arial"/>
          <w:sz w:val="22"/>
        </w:rPr>
        <w:t xml:space="preserve"> the results were derived from </w:t>
      </w:r>
      <w:r w:rsidRPr="00C9277E">
        <w:rPr>
          <w:rFonts w:ascii="Arial" w:hAnsi="Arial" w:cs="Arial"/>
          <w:sz w:val="22"/>
        </w:rPr>
        <w:t>550 correctly completed response forms</w:t>
      </w:r>
      <w:r w:rsidR="00580A82" w:rsidRPr="00C9277E">
        <w:rPr>
          <w:rFonts w:ascii="Arial" w:hAnsi="Arial" w:cs="Arial"/>
          <w:sz w:val="22"/>
        </w:rPr>
        <w:t xml:space="preserve">. </w:t>
      </w:r>
    </w:p>
    <w:p w:rsidR="007A7D0C" w:rsidRPr="00C9277E" w:rsidRDefault="007A7D0C" w:rsidP="007A7D0C">
      <w:pPr>
        <w:rPr>
          <w:rFonts w:ascii="Arial" w:hAnsi="Arial" w:cs="Arial"/>
          <w:sz w:val="22"/>
        </w:rPr>
      </w:pPr>
      <w:r w:rsidRPr="00C9277E">
        <w:rPr>
          <w:rFonts w:ascii="Arial" w:hAnsi="Arial" w:cs="Arial"/>
          <w:sz w:val="22"/>
        </w:rPr>
        <w:t>In summary the key points were:</w:t>
      </w:r>
    </w:p>
    <w:p w:rsidR="007A7D0C" w:rsidRPr="00C9277E" w:rsidRDefault="007A7D0C" w:rsidP="007A7D0C">
      <w:pPr>
        <w:rPr>
          <w:rFonts w:ascii="Arial" w:hAnsi="Arial" w:cs="Arial"/>
          <w:sz w:val="22"/>
        </w:rPr>
      </w:pPr>
      <w:r w:rsidRPr="00C9277E">
        <w:rPr>
          <w:rFonts w:ascii="Arial" w:hAnsi="Arial" w:cs="Arial"/>
          <w:sz w:val="22"/>
        </w:rPr>
        <w:sym w:font="Symbol" w:char="F0B7"/>
      </w:r>
      <w:r w:rsidRPr="00C9277E">
        <w:rPr>
          <w:rFonts w:ascii="Arial" w:hAnsi="Arial" w:cs="Arial"/>
          <w:sz w:val="22"/>
        </w:rPr>
        <w:t xml:space="preserve"> When asked for everyone’s preference for the options for growth, Option 1 (within settlements) and Option 4 (new settlement) emerged as the two most preferred options. They were followed by Option 3 (strategic urban extensions), Option 2 (Dispersal) and Option 5 (SPA avoidance) in that order."</w:t>
      </w:r>
    </w:p>
    <w:p w:rsidR="007A7D0C" w:rsidRPr="00C9277E" w:rsidRDefault="007A7D0C" w:rsidP="007A7D0C">
      <w:pPr>
        <w:rPr>
          <w:rFonts w:ascii="Arial" w:hAnsi="Arial" w:cs="Arial"/>
          <w:sz w:val="22"/>
        </w:rPr>
      </w:pPr>
    </w:p>
    <w:p w:rsidR="007A7D0C" w:rsidRPr="00C9277E" w:rsidRDefault="007A7D0C" w:rsidP="007A7D0C">
      <w:pPr>
        <w:rPr>
          <w:rFonts w:ascii="Arial" w:hAnsi="Arial" w:cs="Arial"/>
          <w:sz w:val="22"/>
        </w:rPr>
      </w:pPr>
      <w:r w:rsidRPr="00C9277E">
        <w:rPr>
          <w:rFonts w:ascii="Arial" w:hAnsi="Arial" w:cs="Arial"/>
          <w:sz w:val="22"/>
        </w:rPr>
        <w:t>This gives the impression that there was strong support for the new town.  In fact, the results of the consultation given by Hart were as follows (each score with a weighting given by Hart):</w:t>
      </w:r>
    </w:p>
    <w:p w:rsidR="007A7D0C" w:rsidRPr="00C9277E" w:rsidRDefault="007A7D0C" w:rsidP="007A7D0C">
      <w:pPr>
        <w:rPr>
          <w:rFonts w:ascii="Arial" w:hAnsi="Arial" w:cs="Arial"/>
          <w:sz w:val="22"/>
        </w:rPr>
      </w:pPr>
    </w:p>
    <w:tbl>
      <w:tblPr>
        <w:tblW w:w="6720" w:type="dxa"/>
        <w:tblCellMar>
          <w:left w:w="0" w:type="dxa"/>
          <w:right w:w="0" w:type="dxa"/>
        </w:tblCellMar>
        <w:tblLook w:val="04A0" w:firstRow="1" w:lastRow="0" w:firstColumn="1" w:lastColumn="0" w:noHBand="0" w:noVBand="1"/>
      </w:tblPr>
      <w:tblGrid>
        <w:gridCol w:w="960"/>
        <w:gridCol w:w="960"/>
        <w:gridCol w:w="960"/>
        <w:gridCol w:w="960"/>
        <w:gridCol w:w="960"/>
        <w:gridCol w:w="960"/>
        <w:gridCol w:w="960"/>
      </w:tblGrid>
      <w:tr w:rsidR="007A7D0C" w:rsidRPr="00C9277E" w:rsidTr="000F10E2">
        <w:trPr>
          <w:trHeight w:val="264"/>
        </w:trPr>
        <w:tc>
          <w:tcPr>
            <w:tcW w:w="960" w:type="dxa"/>
            <w:vAlign w:val="center"/>
            <w:hideMark/>
          </w:tcPr>
          <w:p w:rsidR="007A7D0C" w:rsidRPr="00C9277E" w:rsidRDefault="007A7D0C" w:rsidP="000F10E2">
            <w:pPr>
              <w:rPr>
                <w:rFonts w:ascii="Arial" w:hAnsi="Arial" w:cs="Arial"/>
                <w:sz w:val="20"/>
                <w:szCs w:val="22"/>
                <w:lang w:eastAsia="en-US"/>
              </w:rPr>
            </w:pPr>
          </w:p>
        </w:tc>
        <w:tc>
          <w:tcPr>
            <w:tcW w:w="960" w:type="dxa"/>
            <w:vAlign w:val="center"/>
            <w:hideMark/>
          </w:tcPr>
          <w:p w:rsidR="007A7D0C" w:rsidRPr="00C9277E" w:rsidRDefault="007A7D0C" w:rsidP="000F10E2">
            <w:pPr>
              <w:rPr>
                <w:rFonts w:ascii="Arial" w:hAnsi="Arial" w:cs="Arial"/>
                <w:sz w:val="22"/>
                <w:lang w:eastAsia="en-US"/>
              </w:rPr>
            </w:pPr>
            <w:r w:rsidRPr="00C9277E">
              <w:rPr>
                <w:rFonts w:ascii="Arial" w:hAnsi="Arial" w:cs="Arial"/>
                <w:sz w:val="22"/>
                <w:lang w:eastAsia="en-US"/>
              </w:rPr>
              <w:t>Opt 1</w:t>
            </w:r>
          </w:p>
        </w:tc>
        <w:tc>
          <w:tcPr>
            <w:tcW w:w="960" w:type="dxa"/>
            <w:vAlign w:val="center"/>
            <w:hideMark/>
          </w:tcPr>
          <w:p w:rsidR="007A7D0C" w:rsidRPr="00C9277E" w:rsidRDefault="007A7D0C" w:rsidP="000F10E2">
            <w:pPr>
              <w:rPr>
                <w:rFonts w:ascii="Arial" w:hAnsi="Arial" w:cs="Arial"/>
                <w:sz w:val="22"/>
                <w:lang w:eastAsia="en-US"/>
              </w:rPr>
            </w:pPr>
            <w:r w:rsidRPr="00C9277E">
              <w:rPr>
                <w:rFonts w:ascii="Arial" w:hAnsi="Arial" w:cs="Arial"/>
                <w:sz w:val="22"/>
                <w:lang w:eastAsia="en-US"/>
              </w:rPr>
              <w:t>Opt 2</w:t>
            </w:r>
          </w:p>
        </w:tc>
        <w:tc>
          <w:tcPr>
            <w:tcW w:w="960" w:type="dxa"/>
            <w:vAlign w:val="center"/>
            <w:hideMark/>
          </w:tcPr>
          <w:p w:rsidR="007A7D0C" w:rsidRPr="00C9277E" w:rsidRDefault="007A7D0C" w:rsidP="000F10E2">
            <w:pPr>
              <w:rPr>
                <w:rFonts w:ascii="Arial" w:hAnsi="Arial" w:cs="Arial"/>
                <w:sz w:val="22"/>
                <w:lang w:eastAsia="en-US"/>
              </w:rPr>
            </w:pPr>
            <w:r w:rsidRPr="00C9277E">
              <w:rPr>
                <w:rFonts w:ascii="Arial" w:hAnsi="Arial" w:cs="Arial"/>
                <w:sz w:val="22"/>
                <w:lang w:eastAsia="en-US"/>
              </w:rPr>
              <w:t>Opt 3</w:t>
            </w:r>
          </w:p>
        </w:tc>
        <w:tc>
          <w:tcPr>
            <w:tcW w:w="960" w:type="dxa"/>
            <w:vAlign w:val="center"/>
            <w:hideMark/>
          </w:tcPr>
          <w:p w:rsidR="007A7D0C" w:rsidRPr="00C9277E" w:rsidRDefault="007A7D0C" w:rsidP="000F10E2">
            <w:pPr>
              <w:rPr>
                <w:rFonts w:ascii="Arial" w:hAnsi="Arial" w:cs="Arial"/>
                <w:sz w:val="22"/>
                <w:lang w:eastAsia="en-US"/>
              </w:rPr>
            </w:pPr>
            <w:r w:rsidRPr="00C9277E">
              <w:rPr>
                <w:rFonts w:ascii="Arial" w:hAnsi="Arial" w:cs="Arial"/>
                <w:sz w:val="22"/>
                <w:lang w:eastAsia="en-US"/>
              </w:rPr>
              <w:t>Opt 4</w:t>
            </w:r>
          </w:p>
        </w:tc>
        <w:tc>
          <w:tcPr>
            <w:tcW w:w="960" w:type="dxa"/>
            <w:vAlign w:val="center"/>
            <w:hideMark/>
          </w:tcPr>
          <w:p w:rsidR="007A7D0C" w:rsidRPr="00C9277E" w:rsidRDefault="007A7D0C" w:rsidP="000F10E2">
            <w:pPr>
              <w:rPr>
                <w:rFonts w:ascii="Arial" w:hAnsi="Arial" w:cs="Arial"/>
                <w:sz w:val="22"/>
                <w:lang w:eastAsia="en-US"/>
              </w:rPr>
            </w:pPr>
            <w:r w:rsidRPr="00C9277E">
              <w:rPr>
                <w:rFonts w:ascii="Arial" w:hAnsi="Arial" w:cs="Arial"/>
                <w:sz w:val="22"/>
                <w:lang w:eastAsia="en-US"/>
              </w:rPr>
              <w:t>Opt 5</w:t>
            </w:r>
          </w:p>
        </w:tc>
        <w:tc>
          <w:tcPr>
            <w:tcW w:w="960" w:type="dxa"/>
            <w:vAlign w:val="center"/>
            <w:hideMark/>
          </w:tcPr>
          <w:p w:rsidR="007A7D0C" w:rsidRPr="00C9277E" w:rsidRDefault="007A7D0C" w:rsidP="000F10E2">
            <w:pPr>
              <w:rPr>
                <w:rFonts w:ascii="Arial" w:hAnsi="Arial" w:cs="Arial"/>
                <w:sz w:val="20"/>
                <w:szCs w:val="22"/>
                <w:lang w:eastAsia="en-US"/>
              </w:rPr>
            </w:pPr>
          </w:p>
        </w:tc>
      </w:tr>
      <w:tr w:rsidR="007A7D0C" w:rsidRPr="00C9277E" w:rsidTr="000F10E2">
        <w:trPr>
          <w:trHeight w:val="264"/>
        </w:trPr>
        <w:tc>
          <w:tcPr>
            <w:tcW w:w="0" w:type="auto"/>
            <w:vAlign w:val="center"/>
            <w:hideMark/>
          </w:tcPr>
          <w:p w:rsidR="007A7D0C" w:rsidRPr="00C9277E" w:rsidRDefault="007A7D0C" w:rsidP="000F10E2">
            <w:pPr>
              <w:rPr>
                <w:rFonts w:ascii="Arial" w:hAnsi="Arial" w:cs="Arial"/>
                <w:sz w:val="20"/>
                <w:szCs w:val="22"/>
                <w:lang w:eastAsia="en-US"/>
              </w:rPr>
            </w:pPr>
          </w:p>
        </w:tc>
        <w:tc>
          <w:tcPr>
            <w:tcW w:w="0" w:type="auto"/>
            <w:vAlign w:val="center"/>
            <w:hideMark/>
          </w:tcPr>
          <w:p w:rsidR="007A7D0C" w:rsidRPr="00C9277E" w:rsidRDefault="007A7D0C" w:rsidP="000F10E2">
            <w:pPr>
              <w:rPr>
                <w:rFonts w:ascii="Arial" w:hAnsi="Arial" w:cs="Arial"/>
                <w:sz w:val="22"/>
                <w:lang w:eastAsia="en-US"/>
              </w:rPr>
            </w:pPr>
            <w:r w:rsidRPr="00C9277E">
              <w:rPr>
                <w:rFonts w:ascii="Arial" w:hAnsi="Arial" w:cs="Arial"/>
                <w:sz w:val="22"/>
                <w:lang w:eastAsia="en-US"/>
              </w:rPr>
              <w:t>Score</w:t>
            </w:r>
          </w:p>
        </w:tc>
        <w:tc>
          <w:tcPr>
            <w:tcW w:w="0" w:type="auto"/>
            <w:vAlign w:val="center"/>
            <w:hideMark/>
          </w:tcPr>
          <w:p w:rsidR="007A7D0C" w:rsidRPr="00C9277E" w:rsidRDefault="007A7D0C" w:rsidP="000F10E2">
            <w:pPr>
              <w:rPr>
                <w:rFonts w:ascii="Arial" w:hAnsi="Arial" w:cs="Arial"/>
                <w:sz w:val="22"/>
                <w:lang w:eastAsia="en-US"/>
              </w:rPr>
            </w:pPr>
            <w:r w:rsidRPr="00C9277E">
              <w:rPr>
                <w:rFonts w:ascii="Arial" w:hAnsi="Arial" w:cs="Arial"/>
                <w:sz w:val="22"/>
                <w:lang w:eastAsia="en-US"/>
              </w:rPr>
              <w:t>Score</w:t>
            </w:r>
          </w:p>
        </w:tc>
        <w:tc>
          <w:tcPr>
            <w:tcW w:w="0" w:type="auto"/>
            <w:vAlign w:val="center"/>
            <w:hideMark/>
          </w:tcPr>
          <w:p w:rsidR="007A7D0C" w:rsidRPr="00C9277E" w:rsidRDefault="007A7D0C" w:rsidP="000F10E2">
            <w:pPr>
              <w:rPr>
                <w:rFonts w:ascii="Arial" w:hAnsi="Arial" w:cs="Arial"/>
                <w:sz w:val="22"/>
                <w:lang w:eastAsia="en-US"/>
              </w:rPr>
            </w:pPr>
            <w:r w:rsidRPr="00C9277E">
              <w:rPr>
                <w:rFonts w:ascii="Arial" w:hAnsi="Arial" w:cs="Arial"/>
                <w:sz w:val="22"/>
                <w:lang w:eastAsia="en-US"/>
              </w:rPr>
              <w:t>Score</w:t>
            </w:r>
          </w:p>
        </w:tc>
        <w:tc>
          <w:tcPr>
            <w:tcW w:w="0" w:type="auto"/>
            <w:vAlign w:val="center"/>
            <w:hideMark/>
          </w:tcPr>
          <w:p w:rsidR="007A7D0C" w:rsidRPr="00C9277E" w:rsidRDefault="007A7D0C" w:rsidP="000F10E2">
            <w:pPr>
              <w:rPr>
                <w:rFonts w:ascii="Arial" w:hAnsi="Arial" w:cs="Arial"/>
                <w:sz w:val="22"/>
                <w:lang w:eastAsia="en-US"/>
              </w:rPr>
            </w:pPr>
            <w:r w:rsidRPr="00C9277E">
              <w:rPr>
                <w:rFonts w:ascii="Arial" w:hAnsi="Arial" w:cs="Arial"/>
                <w:sz w:val="22"/>
                <w:lang w:eastAsia="en-US"/>
              </w:rPr>
              <w:t>Score</w:t>
            </w:r>
          </w:p>
        </w:tc>
        <w:tc>
          <w:tcPr>
            <w:tcW w:w="0" w:type="auto"/>
            <w:vAlign w:val="center"/>
            <w:hideMark/>
          </w:tcPr>
          <w:p w:rsidR="007A7D0C" w:rsidRPr="00C9277E" w:rsidRDefault="007A7D0C" w:rsidP="000F10E2">
            <w:pPr>
              <w:rPr>
                <w:rFonts w:ascii="Arial" w:hAnsi="Arial" w:cs="Arial"/>
                <w:sz w:val="22"/>
                <w:lang w:eastAsia="en-US"/>
              </w:rPr>
            </w:pPr>
            <w:r w:rsidRPr="00C9277E">
              <w:rPr>
                <w:rFonts w:ascii="Arial" w:hAnsi="Arial" w:cs="Arial"/>
                <w:sz w:val="22"/>
                <w:lang w:eastAsia="en-US"/>
              </w:rPr>
              <w:t>Score</w:t>
            </w:r>
          </w:p>
        </w:tc>
        <w:tc>
          <w:tcPr>
            <w:tcW w:w="0" w:type="auto"/>
            <w:vAlign w:val="center"/>
            <w:hideMark/>
          </w:tcPr>
          <w:p w:rsidR="007A7D0C" w:rsidRPr="00C9277E" w:rsidRDefault="007A7D0C" w:rsidP="000F10E2">
            <w:pPr>
              <w:rPr>
                <w:rFonts w:ascii="Arial" w:hAnsi="Arial" w:cs="Arial"/>
                <w:sz w:val="20"/>
                <w:szCs w:val="22"/>
                <w:lang w:eastAsia="en-US"/>
              </w:rPr>
            </w:pPr>
          </w:p>
        </w:tc>
      </w:tr>
      <w:tr w:rsidR="007A7D0C" w:rsidRPr="00C9277E" w:rsidTr="000F10E2">
        <w:trPr>
          <w:trHeight w:val="264"/>
        </w:trPr>
        <w:tc>
          <w:tcPr>
            <w:tcW w:w="0" w:type="auto"/>
            <w:vAlign w:val="center"/>
            <w:hideMark/>
          </w:tcPr>
          <w:p w:rsidR="007A7D0C" w:rsidRPr="00C9277E" w:rsidRDefault="007A7D0C" w:rsidP="000F10E2">
            <w:pPr>
              <w:rPr>
                <w:rFonts w:ascii="Arial" w:hAnsi="Arial" w:cs="Arial"/>
                <w:sz w:val="22"/>
                <w:lang w:eastAsia="en-US"/>
              </w:rPr>
            </w:pPr>
            <w:r w:rsidRPr="00C9277E">
              <w:rPr>
                <w:rFonts w:ascii="Arial" w:hAnsi="Arial" w:cs="Arial"/>
                <w:sz w:val="22"/>
                <w:lang w:eastAsia="en-US"/>
              </w:rPr>
              <w:t>Rank</w:t>
            </w:r>
          </w:p>
        </w:tc>
        <w:tc>
          <w:tcPr>
            <w:tcW w:w="0" w:type="auto"/>
            <w:vAlign w:val="center"/>
            <w:hideMark/>
          </w:tcPr>
          <w:p w:rsidR="007A7D0C" w:rsidRPr="00C9277E" w:rsidRDefault="007A7D0C" w:rsidP="000F10E2">
            <w:pPr>
              <w:rPr>
                <w:rFonts w:ascii="Arial" w:hAnsi="Arial" w:cs="Arial"/>
                <w:sz w:val="22"/>
                <w:lang w:eastAsia="en-US"/>
              </w:rPr>
            </w:pPr>
            <w:r w:rsidRPr="00C9277E">
              <w:rPr>
                <w:rFonts w:ascii="Arial" w:hAnsi="Arial" w:cs="Arial"/>
                <w:sz w:val="22"/>
                <w:lang w:eastAsia="en-US"/>
              </w:rPr>
              <w:t>Count</w:t>
            </w:r>
          </w:p>
        </w:tc>
        <w:tc>
          <w:tcPr>
            <w:tcW w:w="0" w:type="auto"/>
            <w:vAlign w:val="center"/>
            <w:hideMark/>
          </w:tcPr>
          <w:p w:rsidR="007A7D0C" w:rsidRPr="00C9277E" w:rsidRDefault="007A7D0C" w:rsidP="000F10E2">
            <w:pPr>
              <w:rPr>
                <w:rFonts w:ascii="Arial" w:hAnsi="Arial" w:cs="Arial"/>
                <w:sz w:val="22"/>
                <w:lang w:eastAsia="en-US"/>
              </w:rPr>
            </w:pPr>
            <w:r w:rsidRPr="00C9277E">
              <w:rPr>
                <w:rFonts w:ascii="Arial" w:hAnsi="Arial" w:cs="Arial"/>
                <w:sz w:val="22"/>
                <w:lang w:eastAsia="en-US"/>
              </w:rPr>
              <w:t>Count</w:t>
            </w:r>
          </w:p>
        </w:tc>
        <w:tc>
          <w:tcPr>
            <w:tcW w:w="0" w:type="auto"/>
            <w:vAlign w:val="center"/>
            <w:hideMark/>
          </w:tcPr>
          <w:p w:rsidR="007A7D0C" w:rsidRPr="00C9277E" w:rsidRDefault="007A7D0C" w:rsidP="000F10E2">
            <w:pPr>
              <w:rPr>
                <w:rFonts w:ascii="Arial" w:hAnsi="Arial" w:cs="Arial"/>
                <w:sz w:val="22"/>
                <w:lang w:eastAsia="en-US"/>
              </w:rPr>
            </w:pPr>
            <w:r w:rsidRPr="00C9277E">
              <w:rPr>
                <w:rFonts w:ascii="Arial" w:hAnsi="Arial" w:cs="Arial"/>
                <w:sz w:val="22"/>
                <w:lang w:eastAsia="en-US"/>
              </w:rPr>
              <w:t>Count</w:t>
            </w:r>
          </w:p>
        </w:tc>
        <w:tc>
          <w:tcPr>
            <w:tcW w:w="0" w:type="auto"/>
            <w:vAlign w:val="center"/>
            <w:hideMark/>
          </w:tcPr>
          <w:p w:rsidR="007A7D0C" w:rsidRPr="00C9277E" w:rsidRDefault="007A7D0C" w:rsidP="000F10E2">
            <w:pPr>
              <w:rPr>
                <w:rFonts w:ascii="Arial" w:hAnsi="Arial" w:cs="Arial"/>
                <w:sz w:val="22"/>
                <w:lang w:eastAsia="en-US"/>
              </w:rPr>
            </w:pPr>
            <w:r w:rsidRPr="00C9277E">
              <w:rPr>
                <w:rFonts w:ascii="Arial" w:hAnsi="Arial" w:cs="Arial"/>
                <w:sz w:val="22"/>
                <w:lang w:eastAsia="en-US"/>
              </w:rPr>
              <w:t>Count</w:t>
            </w:r>
          </w:p>
        </w:tc>
        <w:tc>
          <w:tcPr>
            <w:tcW w:w="0" w:type="auto"/>
            <w:vAlign w:val="center"/>
            <w:hideMark/>
          </w:tcPr>
          <w:p w:rsidR="007A7D0C" w:rsidRPr="00C9277E" w:rsidRDefault="007A7D0C" w:rsidP="000F10E2">
            <w:pPr>
              <w:rPr>
                <w:rFonts w:ascii="Arial" w:hAnsi="Arial" w:cs="Arial"/>
                <w:sz w:val="22"/>
                <w:lang w:eastAsia="en-US"/>
              </w:rPr>
            </w:pPr>
            <w:r w:rsidRPr="00C9277E">
              <w:rPr>
                <w:rFonts w:ascii="Arial" w:hAnsi="Arial" w:cs="Arial"/>
                <w:sz w:val="22"/>
                <w:lang w:eastAsia="en-US"/>
              </w:rPr>
              <w:t>Count</w:t>
            </w:r>
          </w:p>
        </w:tc>
        <w:tc>
          <w:tcPr>
            <w:tcW w:w="0" w:type="auto"/>
            <w:vAlign w:val="center"/>
            <w:hideMark/>
          </w:tcPr>
          <w:p w:rsidR="007A7D0C" w:rsidRPr="00C9277E" w:rsidRDefault="007A7D0C" w:rsidP="000F10E2">
            <w:pPr>
              <w:rPr>
                <w:rFonts w:ascii="Arial" w:hAnsi="Arial" w:cs="Arial"/>
                <w:sz w:val="20"/>
                <w:szCs w:val="22"/>
                <w:lang w:eastAsia="en-US"/>
              </w:rPr>
            </w:pPr>
          </w:p>
        </w:tc>
      </w:tr>
      <w:tr w:rsidR="007A7D0C" w:rsidRPr="00C9277E" w:rsidTr="000F10E2">
        <w:trPr>
          <w:trHeight w:val="264"/>
        </w:trPr>
        <w:tc>
          <w:tcPr>
            <w:tcW w:w="0" w:type="auto"/>
            <w:vAlign w:val="center"/>
            <w:hideMark/>
          </w:tcPr>
          <w:p w:rsidR="007A7D0C" w:rsidRPr="00C9277E" w:rsidRDefault="007A7D0C" w:rsidP="000F10E2">
            <w:pPr>
              <w:rPr>
                <w:rFonts w:ascii="Arial" w:hAnsi="Arial" w:cs="Arial"/>
                <w:sz w:val="22"/>
                <w:lang w:eastAsia="en-US"/>
              </w:rPr>
            </w:pPr>
            <w:r w:rsidRPr="00C9277E">
              <w:rPr>
                <w:rFonts w:ascii="Arial" w:hAnsi="Arial" w:cs="Arial"/>
                <w:sz w:val="22"/>
                <w:lang w:eastAsia="en-US"/>
              </w:rPr>
              <w:t>1st</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640</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320</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515</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1010</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265</w:t>
            </w:r>
          </w:p>
        </w:tc>
        <w:tc>
          <w:tcPr>
            <w:tcW w:w="0" w:type="auto"/>
            <w:vAlign w:val="center"/>
            <w:hideMark/>
          </w:tcPr>
          <w:p w:rsidR="007A7D0C" w:rsidRPr="00C9277E" w:rsidRDefault="007A7D0C" w:rsidP="000F10E2">
            <w:pPr>
              <w:rPr>
                <w:rFonts w:ascii="Arial" w:hAnsi="Arial" w:cs="Arial"/>
                <w:sz w:val="20"/>
                <w:szCs w:val="22"/>
                <w:lang w:eastAsia="en-US"/>
              </w:rPr>
            </w:pPr>
          </w:p>
        </w:tc>
      </w:tr>
      <w:tr w:rsidR="007A7D0C" w:rsidRPr="00C9277E" w:rsidTr="000F10E2">
        <w:trPr>
          <w:trHeight w:val="264"/>
        </w:trPr>
        <w:tc>
          <w:tcPr>
            <w:tcW w:w="0" w:type="auto"/>
            <w:vAlign w:val="center"/>
            <w:hideMark/>
          </w:tcPr>
          <w:p w:rsidR="007A7D0C" w:rsidRPr="00C9277E" w:rsidRDefault="007A7D0C" w:rsidP="000F10E2">
            <w:pPr>
              <w:rPr>
                <w:rFonts w:ascii="Arial" w:hAnsi="Arial" w:cs="Arial"/>
                <w:sz w:val="22"/>
                <w:lang w:eastAsia="en-US"/>
              </w:rPr>
            </w:pPr>
            <w:r w:rsidRPr="00C9277E">
              <w:rPr>
                <w:rFonts w:ascii="Arial" w:hAnsi="Arial" w:cs="Arial"/>
                <w:sz w:val="22"/>
                <w:lang w:eastAsia="en-US"/>
              </w:rPr>
              <w:t>2nd</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564</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344</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592</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352</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348</w:t>
            </w:r>
          </w:p>
        </w:tc>
        <w:tc>
          <w:tcPr>
            <w:tcW w:w="0" w:type="auto"/>
            <w:vAlign w:val="center"/>
            <w:hideMark/>
          </w:tcPr>
          <w:p w:rsidR="007A7D0C" w:rsidRPr="00C9277E" w:rsidRDefault="007A7D0C" w:rsidP="000F10E2">
            <w:pPr>
              <w:rPr>
                <w:rFonts w:ascii="Arial" w:hAnsi="Arial" w:cs="Arial"/>
                <w:sz w:val="20"/>
                <w:szCs w:val="22"/>
                <w:lang w:eastAsia="en-US"/>
              </w:rPr>
            </w:pPr>
          </w:p>
        </w:tc>
      </w:tr>
      <w:tr w:rsidR="007A7D0C" w:rsidRPr="00C9277E" w:rsidTr="000F10E2">
        <w:trPr>
          <w:trHeight w:val="264"/>
        </w:trPr>
        <w:tc>
          <w:tcPr>
            <w:tcW w:w="0" w:type="auto"/>
            <w:vAlign w:val="center"/>
            <w:hideMark/>
          </w:tcPr>
          <w:p w:rsidR="007A7D0C" w:rsidRPr="00C9277E" w:rsidRDefault="007A7D0C" w:rsidP="000F10E2">
            <w:pPr>
              <w:rPr>
                <w:rFonts w:ascii="Arial" w:hAnsi="Arial" w:cs="Arial"/>
                <w:sz w:val="22"/>
                <w:lang w:eastAsia="en-US"/>
              </w:rPr>
            </w:pPr>
            <w:r w:rsidRPr="00C9277E">
              <w:rPr>
                <w:rFonts w:ascii="Arial" w:hAnsi="Arial" w:cs="Arial"/>
                <w:sz w:val="22"/>
                <w:lang w:eastAsia="en-US"/>
              </w:rPr>
              <w:t>3rd</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381</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495</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399</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138</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237</w:t>
            </w:r>
          </w:p>
        </w:tc>
        <w:tc>
          <w:tcPr>
            <w:tcW w:w="0" w:type="auto"/>
            <w:vAlign w:val="center"/>
            <w:hideMark/>
          </w:tcPr>
          <w:p w:rsidR="007A7D0C" w:rsidRPr="00C9277E" w:rsidRDefault="007A7D0C" w:rsidP="000F10E2">
            <w:pPr>
              <w:rPr>
                <w:rFonts w:ascii="Arial" w:hAnsi="Arial" w:cs="Arial"/>
                <w:sz w:val="20"/>
                <w:szCs w:val="22"/>
                <w:lang w:eastAsia="en-US"/>
              </w:rPr>
            </w:pPr>
          </w:p>
        </w:tc>
      </w:tr>
      <w:tr w:rsidR="007A7D0C" w:rsidRPr="00C9277E" w:rsidTr="000F10E2">
        <w:trPr>
          <w:trHeight w:val="264"/>
        </w:trPr>
        <w:tc>
          <w:tcPr>
            <w:tcW w:w="0" w:type="auto"/>
            <w:vAlign w:val="center"/>
            <w:hideMark/>
          </w:tcPr>
          <w:p w:rsidR="007A7D0C" w:rsidRPr="00C9277E" w:rsidRDefault="007A7D0C" w:rsidP="000F10E2">
            <w:pPr>
              <w:rPr>
                <w:rFonts w:ascii="Arial" w:hAnsi="Arial" w:cs="Arial"/>
                <w:sz w:val="22"/>
                <w:lang w:eastAsia="en-US"/>
              </w:rPr>
            </w:pPr>
            <w:r w:rsidRPr="00C9277E">
              <w:rPr>
                <w:rFonts w:ascii="Arial" w:hAnsi="Arial" w:cs="Arial"/>
                <w:sz w:val="22"/>
                <w:lang w:eastAsia="en-US"/>
              </w:rPr>
              <w:t>4th</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180</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336</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180</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198</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206</w:t>
            </w:r>
          </w:p>
        </w:tc>
        <w:tc>
          <w:tcPr>
            <w:tcW w:w="0" w:type="auto"/>
            <w:vAlign w:val="center"/>
            <w:hideMark/>
          </w:tcPr>
          <w:p w:rsidR="007A7D0C" w:rsidRPr="00C9277E" w:rsidRDefault="007A7D0C" w:rsidP="000F10E2">
            <w:pPr>
              <w:rPr>
                <w:rFonts w:ascii="Arial" w:hAnsi="Arial" w:cs="Arial"/>
                <w:sz w:val="20"/>
                <w:szCs w:val="22"/>
                <w:lang w:eastAsia="en-US"/>
              </w:rPr>
            </w:pPr>
          </w:p>
        </w:tc>
      </w:tr>
      <w:tr w:rsidR="007A7D0C" w:rsidRPr="00C9277E" w:rsidTr="000F10E2">
        <w:trPr>
          <w:trHeight w:val="264"/>
        </w:trPr>
        <w:tc>
          <w:tcPr>
            <w:tcW w:w="0" w:type="auto"/>
            <w:vAlign w:val="center"/>
            <w:hideMark/>
          </w:tcPr>
          <w:p w:rsidR="007A7D0C" w:rsidRPr="00C9277E" w:rsidRDefault="007A7D0C" w:rsidP="000F10E2">
            <w:pPr>
              <w:rPr>
                <w:rFonts w:ascii="Arial" w:hAnsi="Arial" w:cs="Arial"/>
                <w:sz w:val="22"/>
                <w:lang w:eastAsia="en-US"/>
              </w:rPr>
            </w:pPr>
            <w:r w:rsidRPr="00C9277E">
              <w:rPr>
                <w:rFonts w:ascii="Arial" w:hAnsi="Arial" w:cs="Arial"/>
                <w:sz w:val="22"/>
                <w:lang w:eastAsia="en-US"/>
              </w:rPr>
              <w:t>5th</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64</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67</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76</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115</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228</w:t>
            </w:r>
          </w:p>
        </w:tc>
        <w:tc>
          <w:tcPr>
            <w:tcW w:w="0" w:type="auto"/>
            <w:vAlign w:val="center"/>
            <w:hideMark/>
          </w:tcPr>
          <w:p w:rsidR="007A7D0C" w:rsidRPr="00C9277E" w:rsidRDefault="007A7D0C" w:rsidP="000F10E2">
            <w:pPr>
              <w:rPr>
                <w:rFonts w:ascii="Arial" w:hAnsi="Arial" w:cs="Arial"/>
                <w:sz w:val="20"/>
                <w:szCs w:val="22"/>
                <w:lang w:eastAsia="en-US"/>
              </w:rPr>
            </w:pPr>
          </w:p>
        </w:tc>
      </w:tr>
      <w:tr w:rsidR="007A7D0C" w:rsidRPr="00C9277E" w:rsidTr="000F10E2">
        <w:trPr>
          <w:trHeight w:val="264"/>
        </w:trPr>
        <w:tc>
          <w:tcPr>
            <w:tcW w:w="0" w:type="auto"/>
            <w:vAlign w:val="center"/>
            <w:hideMark/>
          </w:tcPr>
          <w:p w:rsidR="007A7D0C" w:rsidRPr="00C9277E" w:rsidRDefault="007A7D0C" w:rsidP="000F10E2">
            <w:pPr>
              <w:rPr>
                <w:rFonts w:ascii="Arial" w:hAnsi="Arial" w:cs="Arial"/>
                <w:sz w:val="22"/>
                <w:lang w:eastAsia="en-US"/>
              </w:rPr>
            </w:pPr>
            <w:r w:rsidRPr="00C9277E">
              <w:rPr>
                <w:rFonts w:ascii="Arial" w:hAnsi="Arial" w:cs="Arial"/>
                <w:sz w:val="22"/>
                <w:lang w:eastAsia="en-US"/>
              </w:rPr>
              <w:t>Total</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1829</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1562</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1762</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1813</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1284</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8250</w:t>
            </w:r>
          </w:p>
        </w:tc>
      </w:tr>
      <w:tr w:rsidR="007A7D0C" w:rsidRPr="00C9277E" w:rsidTr="000F10E2">
        <w:trPr>
          <w:trHeight w:val="264"/>
        </w:trPr>
        <w:tc>
          <w:tcPr>
            <w:tcW w:w="0" w:type="auto"/>
            <w:vAlign w:val="center"/>
            <w:hideMark/>
          </w:tcPr>
          <w:p w:rsidR="007A7D0C" w:rsidRPr="00C9277E" w:rsidRDefault="007A7D0C" w:rsidP="000F10E2">
            <w:pPr>
              <w:rPr>
                <w:rFonts w:ascii="Arial" w:hAnsi="Arial" w:cs="Arial"/>
                <w:sz w:val="20"/>
                <w:szCs w:val="22"/>
                <w:lang w:eastAsia="en-US"/>
              </w:rPr>
            </w:pP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22%</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19%</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21%</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22%</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16%</w:t>
            </w:r>
          </w:p>
        </w:tc>
        <w:tc>
          <w:tcPr>
            <w:tcW w:w="0" w:type="auto"/>
            <w:vAlign w:val="center"/>
            <w:hideMark/>
          </w:tcPr>
          <w:p w:rsidR="007A7D0C" w:rsidRPr="00C9277E" w:rsidRDefault="007A7D0C" w:rsidP="000F10E2">
            <w:pPr>
              <w:jc w:val="right"/>
              <w:rPr>
                <w:rFonts w:ascii="Arial" w:hAnsi="Arial" w:cs="Arial"/>
                <w:sz w:val="22"/>
                <w:lang w:eastAsia="en-US"/>
              </w:rPr>
            </w:pPr>
            <w:r w:rsidRPr="00C9277E">
              <w:rPr>
                <w:rFonts w:ascii="Arial" w:hAnsi="Arial" w:cs="Arial"/>
                <w:sz w:val="22"/>
                <w:lang w:eastAsia="en-US"/>
              </w:rPr>
              <w:t>100%</w:t>
            </w:r>
          </w:p>
        </w:tc>
      </w:tr>
    </w:tbl>
    <w:p w:rsidR="007A7D0C" w:rsidRPr="00C9277E" w:rsidRDefault="007A7D0C" w:rsidP="007A7D0C">
      <w:pPr>
        <w:rPr>
          <w:rFonts w:ascii="Arial" w:hAnsi="Arial" w:cs="Arial"/>
          <w:sz w:val="22"/>
        </w:rPr>
      </w:pPr>
    </w:p>
    <w:p w:rsidR="007A7D0C" w:rsidRPr="00C9277E" w:rsidRDefault="007A7D0C" w:rsidP="007A7D0C">
      <w:pPr>
        <w:rPr>
          <w:rFonts w:ascii="Arial" w:hAnsi="Arial" w:cs="Arial"/>
          <w:sz w:val="22"/>
        </w:rPr>
      </w:pPr>
      <w:r w:rsidRPr="00C9277E">
        <w:rPr>
          <w:rFonts w:ascii="Arial" w:hAnsi="Arial" w:cs="Arial"/>
          <w:sz w:val="22"/>
        </w:rPr>
        <w:t xml:space="preserve">The table shows there were no clear preferences, with the top four scoring between 19% and 22%.  The new town scored 22% out of 100% which is hardly a "preferred </w:t>
      </w:r>
      <w:r w:rsidR="002E614F">
        <w:rPr>
          <w:rFonts w:ascii="Arial" w:hAnsi="Arial" w:cs="Arial"/>
          <w:sz w:val="22"/>
        </w:rPr>
        <w:t>option", compared to 42% favouring collectively Options 1 to 3, ie not a new settlement.</w:t>
      </w:r>
    </w:p>
    <w:p w:rsidR="007A7D0C" w:rsidRPr="00C9277E" w:rsidRDefault="007A7D0C" w:rsidP="00C01053">
      <w:pPr>
        <w:rPr>
          <w:rFonts w:ascii="Arial" w:hAnsi="Arial" w:cs="Arial"/>
          <w:sz w:val="22"/>
          <w:u w:val="single"/>
        </w:rPr>
      </w:pPr>
    </w:p>
    <w:p w:rsidR="002E614F" w:rsidRPr="00C9277E" w:rsidRDefault="002E614F" w:rsidP="002E614F">
      <w:pPr>
        <w:rPr>
          <w:rFonts w:ascii="Arial" w:hAnsi="Arial" w:cs="Arial"/>
          <w:sz w:val="22"/>
        </w:rPr>
      </w:pPr>
      <w:r>
        <w:rPr>
          <w:rFonts w:ascii="Arial" w:hAnsi="Arial" w:cs="Arial"/>
          <w:sz w:val="22"/>
        </w:rPr>
        <w:t>Unlike the previous consultation this paper does not</w:t>
      </w:r>
      <w:r w:rsidRPr="00C9277E">
        <w:rPr>
          <w:rFonts w:ascii="Arial" w:hAnsi="Arial" w:cs="Arial"/>
          <w:sz w:val="22"/>
        </w:rPr>
        <w:t xml:space="preserve"> </w:t>
      </w:r>
      <w:r>
        <w:rPr>
          <w:rFonts w:ascii="Arial" w:hAnsi="Arial" w:cs="Arial"/>
          <w:sz w:val="22"/>
        </w:rPr>
        <w:t xml:space="preserve">mention </w:t>
      </w:r>
      <w:r w:rsidRPr="00C9277E">
        <w:rPr>
          <w:rFonts w:ascii="Arial" w:hAnsi="Arial" w:cs="Arial"/>
          <w:sz w:val="22"/>
        </w:rPr>
        <w:t xml:space="preserve">urban development at all?  There are submitted sites, in addition to brownfield sites, which would contribute to the overall numbers so why have most of these been discounted as ‘no further assessment’ </w:t>
      </w:r>
    </w:p>
    <w:p w:rsidR="0006686F" w:rsidRDefault="0006686F" w:rsidP="00C01053">
      <w:pPr>
        <w:rPr>
          <w:rFonts w:ascii="Arial" w:hAnsi="Arial" w:cs="Arial"/>
          <w:sz w:val="22"/>
        </w:rPr>
      </w:pPr>
    </w:p>
    <w:p w:rsidR="002E614F" w:rsidRPr="00C9277E" w:rsidRDefault="002E614F" w:rsidP="00C01053">
      <w:pPr>
        <w:rPr>
          <w:rFonts w:ascii="Arial" w:hAnsi="Arial" w:cs="Arial"/>
          <w:sz w:val="22"/>
        </w:rPr>
      </w:pPr>
    </w:p>
    <w:p w:rsidR="00227908" w:rsidRPr="00C9277E" w:rsidRDefault="00A00583" w:rsidP="00C01053">
      <w:pPr>
        <w:rPr>
          <w:rFonts w:ascii="Arial" w:hAnsi="Arial" w:cs="Arial"/>
          <w:sz w:val="22"/>
        </w:rPr>
      </w:pPr>
      <w:r w:rsidRPr="00C9277E">
        <w:rPr>
          <w:rFonts w:ascii="Arial" w:hAnsi="Arial" w:cs="Arial"/>
          <w:sz w:val="22"/>
        </w:rPr>
        <w:t xml:space="preserve">Page </w:t>
      </w:r>
      <w:r w:rsidR="00332CC7" w:rsidRPr="00C9277E">
        <w:rPr>
          <w:rFonts w:ascii="Arial" w:hAnsi="Arial" w:cs="Arial"/>
          <w:sz w:val="22"/>
        </w:rPr>
        <w:t>7#9</w:t>
      </w:r>
      <w:r w:rsidRPr="00C9277E">
        <w:rPr>
          <w:rFonts w:ascii="Arial" w:hAnsi="Arial" w:cs="Arial"/>
          <w:sz w:val="22"/>
        </w:rPr>
        <w:t xml:space="preserve">. </w:t>
      </w:r>
    </w:p>
    <w:p w:rsidR="00A00583" w:rsidRPr="00C9277E" w:rsidRDefault="00A00583" w:rsidP="00A00583">
      <w:pPr>
        <w:rPr>
          <w:rFonts w:ascii="Arial" w:hAnsi="Arial" w:cs="Arial"/>
          <w:sz w:val="22"/>
        </w:rPr>
      </w:pPr>
      <w:r w:rsidRPr="00C9277E">
        <w:rPr>
          <w:rFonts w:ascii="Arial" w:hAnsi="Arial" w:cs="Arial"/>
          <w:sz w:val="22"/>
        </w:rPr>
        <w:t xml:space="preserve">The consultation of 2014 specifically asked if even the smallest villages and hamlets should provide some housing and there was strong support that they should do so, 60% of respondents said yes. . Why has this been ignored in this options paper?  </w:t>
      </w:r>
    </w:p>
    <w:p w:rsidR="00A00583" w:rsidRPr="00C9277E" w:rsidRDefault="00A00583" w:rsidP="00C01053">
      <w:pPr>
        <w:rPr>
          <w:rFonts w:ascii="Arial" w:hAnsi="Arial" w:cs="Arial"/>
          <w:sz w:val="22"/>
        </w:rPr>
      </w:pPr>
    </w:p>
    <w:p w:rsidR="00332CC7" w:rsidRPr="00C9277E" w:rsidRDefault="00332CC7" w:rsidP="00C01053">
      <w:pPr>
        <w:rPr>
          <w:rFonts w:ascii="Arial" w:hAnsi="Arial" w:cs="Arial"/>
          <w:sz w:val="22"/>
        </w:rPr>
      </w:pPr>
      <w:r w:rsidRPr="00C9277E">
        <w:rPr>
          <w:rFonts w:ascii="Arial" w:hAnsi="Arial" w:cs="Arial"/>
          <w:sz w:val="22"/>
        </w:rPr>
        <w:t>Pages 8 &amp; 9</w:t>
      </w:r>
    </w:p>
    <w:p w:rsidR="00F14834" w:rsidRDefault="00A00583" w:rsidP="00C01053">
      <w:pPr>
        <w:rPr>
          <w:rFonts w:ascii="Arial" w:hAnsi="Arial" w:cs="Arial"/>
          <w:sz w:val="22"/>
        </w:rPr>
      </w:pPr>
      <w:r w:rsidRPr="00C9277E">
        <w:rPr>
          <w:rFonts w:ascii="Arial" w:hAnsi="Arial" w:cs="Arial"/>
          <w:sz w:val="22"/>
        </w:rPr>
        <w:t>Infr</w:t>
      </w:r>
      <w:r w:rsidR="006947F7" w:rsidRPr="00C9277E">
        <w:rPr>
          <w:rFonts w:ascii="Arial" w:hAnsi="Arial" w:cs="Arial"/>
          <w:sz w:val="22"/>
        </w:rPr>
        <w:t>a</w:t>
      </w:r>
      <w:r w:rsidRPr="00C9277E">
        <w:rPr>
          <w:rFonts w:ascii="Arial" w:hAnsi="Arial" w:cs="Arial"/>
          <w:sz w:val="22"/>
        </w:rPr>
        <w:t>structure testing</w:t>
      </w:r>
      <w:r w:rsidR="006947F7" w:rsidRPr="00C9277E">
        <w:rPr>
          <w:rFonts w:ascii="Arial" w:hAnsi="Arial" w:cs="Arial"/>
          <w:sz w:val="22"/>
        </w:rPr>
        <w:t xml:space="preserve">: </w:t>
      </w:r>
      <w:r w:rsidRPr="00C9277E">
        <w:rPr>
          <w:rFonts w:ascii="Arial" w:hAnsi="Arial" w:cs="Arial"/>
          <w:sz w:val="22"/>
        </w:rPr>
        <w:t>transport/educ</w:t>
      </w:r>
      <w:r w:rsidR="006947F7" w:rsidRPr="00C9277E">
        <w:rPr>
          <w:rFonts w:ascii="Arial" w:hAnsi="Arial" w:cs="Arial"/>
          <w:sz w:val="22"/>
        </w:rPr>
        <w:t>a</w:t>
      </w:r>
      <w:r w:rsidRPr="00C9277E">
        <w:rPr>
          <w:rFonts w:ascii="Arial" w:hAnsi="Arial" w:cs="Arial"/>
          <w:sz w:val="22"/>
        </w:rPr>
        <w:t xml:space="preserve">tion/health/utilities – initial findings should be included here. </w:t>
      </w:r>
      <w:r w:rsidR="00F14834">
        <w:rPr>
          <w:rFonts w:ascii="Arial" w:hAnsi="Arial" w:cs="Arial"/>
          <w:sz w:val="22"/>
        </w:rPr>
        <w:t xml:space="preserve">By now HDC must have been able to determine the high level costs of </w:t>
      </w:r>
      <w:r w:rsidR="00792F76">
        <w:rPr>
          <w:rFonts w:ascii="Arial" w:hAnsi="Arial" w:cs="Arial"/>
          <w:sz w:val="22"/>
        </w:rPr>
        <w:t>infrastructure</w:t>
      </w:r>
      <w:r w:rsidR="00F14834">
        <w:rPr>
          <w:rFonts w:ascii="Arial" w:hAnsi="Arial" w:cs="Arial"/>
          <w:sz w:val="22"/>
        </w:rPr>
        <w:t xml:space="preserve"> for each option and have a good idea of the contributions they can reasonably expect from developers. </w:t>
      </w:r>
      <w:r w:rsidRPr="00C9277E">
        <w:rPr>
          <w:rFonts w:ascii="Arial" w:hAnsi="Arial" w:cs="Arial"/>
          <w:sz w:val="22"/>
        </w:rPr>
        <w:t xml:space="preserve">We have consistently said that HDC already has a deficit of £78m and that development costs of a new settlement will be in the region of £300m of which developer contributions might be £50m. </w:t>
      </w:r>
      <w:r w:rsidR="006947F7" w:rsidRPr="00C9277E">
        <w:rPr>
          <w:rFonts w:ascii="Arial" w:hAnsi="Arial" w:cs="Arial"/>
          <w:sz w:val="22"/>
        </w:rPr>
        <w:t>O</w:t>
      </w:r>
      <w:r w:rsidRPr="00C9277E">
        <w:rPr>
          <w:rFonts w:ascii="Arial" w:hAnsi="Arial" w:cs="Arial"/>
          <w:sz w:val="22"/>
        </w:rPr>
        <w:t>n page 2</w:t>
      </w:r>
      <w:r w:rsidR="00332CC7" w:rsidRPr="00C9277E">
        <w:rPr>
          <w:rFonts w:ascii="Arial" w:hAnsi="Arial" w:cs="Arial"/>
          <w:sz w:val="22"/>
        </w:rPr>
        <w:t>6</w:t>
      </w:r>
      <w:r w:rsidRPr="00C9277E">
        <w:rPr>
          <w:rFonts w:ascii="Arial" w:hAnsi="Arial" w:cs="Arial"/>
          <w:sz w:val="22"/>
        </w:rPr>
        <w:t xml:space="preserve"> #46 you refer to the need for ‘robust infrastructure </w:t>
      </w:r>
      <w:r w:rsidR="00D313EF" w:rsidRPr="00C9277E">
        <w:rPr>
          <w:rFonts w:ascii="Arial" w:hAnsi="Arial" w:cs="Arial"/>
          <w:sz w:val="22"/>
        </w:rPr>
        <w:t>delivery’ so</w:t>
      </w:r>
      <w:r w:rsidRPr="00C9277E">
        <w:rPr>
          <w:rFonts w:ascii="Arial" w:hAnsi="Arial" w:cs="Arial"/>
          <w:sz w:val="22"/>
        </w:rPr>
        <w:t xml:space="preserve"> you should demonstrate that this is an </w:t>
      </w:r>
      <w:r w:rsidR="006947F7" w:rsidRPr="00C9277E">
        <w:rPr>
          <w:rFonts w:ascii="Arial" w:hAnsi="Arial" w:cs="Arial"/>
          <w:sz w:val="22"/>
        </w:rPr>
        <w:t xml:space="preserve">obligatory </w:t>
      </w:r>
      <w:r w:rsidRPr="00C9277E">
        <w:rPr>
          <w:rFonts w:ascii="Arial" w:hAnsi="Arial" w:cs="Arial"/>
          <w:sz w:val="22"/>
        </w:rPr>
        <w:t>requirement for any major development</w:t>
      </w:r>
      <w:r w:rsidR="006947F7" w:rsidRPr="00C9277E">
        <w:rPr>
          <w:rFonts w:ascii="Arial" w:hAnsi="Arial" w:cs="Arial"/>
          <w:sz w:val="22"/>
        </w:rPr>
        <w:t xml:space="preserve"> whether </w:t>
      </w:r>
      <w:r w:rsidRPr="00C9277E">
        <w:rPr>
          <w:rFonts w:ascii="Arial" w:hAnsi="Arial" w:cs="Arial"/>
          <w:sz w:val="22"/>
        </w:rPr>
        <w:t xml:space="preserve">new settlement or greenfield extension; this is a major concern for Hart residents. </w:t>
      </w:r>
    </w:p>
    <w:p w:rsidR="00F14834" w:rsidRDefault="00F14834" w:rsidP="00C01053">
      <w:pPr>
        <w:rPr>
          <w:rFonts w:ascii="Arial" w:hAnsi="Arial" w:cs="Arial"/>
          <w:sz w:val="22"/>
        </w:rPr>
      </w:pPr>
    </w:p>
    <w:p w:rsidR="00F14834" w:rsidRPr="00F14834" w:rsidRDefault="00F14834" w:rsidP="00F14834">
      <w:pPr>
        <w:rPr>
          <w:rFonts w:ascii="Arial" w:hAnsi="Arial" w:cs="Arial"/>
          <w:sz w:val="22"/>
        </w:rPr>
      </w:pPr>
      <w:r w:rsidRPr="00F14834">
        <w:rPr>
          <w:rFonts w:ascii="Arial" w:hAnsi="Arial" w:cs="Arial"/>
          <w:sz w:val="22"/>
        </w:rPr>
        <w:lastRenderedPageBreak/>
        <w:t>What evidence do you</w:t>
      </w:r>
      <w:r>
        <w:rPr>
          <w:rFonts w:ascii="Arial" w:hAnsi="Arial" w:cs="Arial"/>
          <w:sz w:val="22"/>
        </w:rPr>
        <w:t xml:space="preserve"> have to </w:t>
      </w:r>
      <w:r w:rsidRPr="00F14834">
        <w:rPr>
          <w:rFonts w:ascii="Arial" w:hAnsi="Arial" w:cs="Arial"/>
          <w:sz w:val="22"/>
        </w:rPr>
        <w:t xml:space="preserve">justify </w:t>
      </w:r>
      <w:r w:rsidR="00EE17F5">
        <w:rPr>
          <w:rFonts w:ascii="Arial" w:hAnsi="Arial" w:cs="Arial"/>
          <w:sz w:val="22"/>
        </w:rPr>
        <w:t xml:space="preserve">that ‘a significant increase in primary and secondary school places’ will require the building of new schools? </w:t>
      </w:r>
      <w:r w:rsidRPr="00F14834">
        <w:rPr>
          <w:rFonts w:ascii="Arial" w:hAnsi="Arial" w:cs="Arial"/>
          <w:sz w:val="22"/>
        </w:rPr>
        <w:t xml:space="preserve"> Hampshire school place planning does not go beyond 2018 and there is currently forecast to be a surplus of school places against that plan.  Latest Government population projections show a much lower population in 2031 than before, so how do we know that our school place requirement will be so large we need to build these extra schools?</w:t>
      </w:r>
    </w:p>
    <w:p w:rsidR="00A00583" w:rsidRPr="00C9277E" w:rsidRDefault="00BA553F" w:rsidP="00C01053">
      <w:pPr>
        <w:rPr>
          <w:rFonts w:ascii="Arial" w:hAnsi="Arial" w:cs="Arial"/>
          <w:sz w:val="22"/>
        </w:rPr>
      </w:pPr>
      <w:r w:rsidRPr="00C9277E">
        <w:rPr>
          <w:rFonts w:ascii="Arial" w:hAnsi="Arial" w:cs="Arial"/>
          <w:sz w:val="22"/>
        </w:rPr>
        <w:t xml:space="preserve">Page 10. </w:t>
      </w:r>
    </w:p>
    <w:p w:rsidR="00BA553F" w:rsidRPr="00C9277E" w:rsidRDefault="00BA553F" w:rsidP="00C01053">
      <w:pPr>
        <w:rPr>
          <w:rFonts w:ascii="Arial" w:hAnsi="Arial" w:cs="Arial"/>
          <w:sz w:val="22"/>
        </w:rPr>
      </w:pPr>
      <w:r w:rsidRPr="00C9277E">
        <w:rPr>
          <w:rFonts w:ascii="Arial" w:hAnsi="Arial" w:cs="Arial"/>
          <w:sz w:val="22"/>
        </w:rPr>
        <w:t>Why is ‘rural ho</w:t>
      </w:r>
      <w:r w:rsidR="006947F7" w:rsidRPr="00C9277E">
        <w:rPr>
          <w:rFonts w:ascii="Arial" w:hAnsi="Arial" w:cs="Arial"/>
          <w:sz w:val="22"/>
        </w:rPr>
        <w:t>us</w:t>
      </w:r>
      <w:r w:rsidRPr="00C9277E">
        <w:rPr>
          <w:rFonts w:ascii="Arial" w:hAnsi="Arial" w:cs="Arial"/>
          <w:sz w:val="22"/>
        </w:rPr>
        <w:t xml:space="preserve">ing for local people’ </w:t>
      </w:r>
      <w:r w:rsidR="00730E1F" w:rsidRPr="00C9277E">
        <w:rPr>
          <w:rFonts w:ascii="Arial" w:hAnsi="Arial" w:cs="Arial"/>
          <w:sz w:val="22"/>
        </w:rPr>
        <w:t xml:space="preserve">information </w:t>
      </w:r>
      <w:r w:rsidRPr="00C9277E">
        <w:rPr>
          <w:rFonts w:ascii="Arial" w:hAnsi="Arial" w:cs="Arial"/>
          <w:sz w:val="22"/>
        </w:rPr>
        <w:t>not included here? (HARAH) Add this to Q</w:t>
      </w:r>
      <w:r w:rsidR="00332CC7" w:rsidRPr="00C9277E">
        <w:rPr>
          <w:rFonts w:ascii="Arial" w:hAnsi="Arial" w:cs="Arial"/>
          <w:sz w:val="22"/>
        </w:rPr>
        <w:t>2</w:t>
      </w:r>
    </w:p>
    <w:p w:rsidR="00A00583" w:rsidRPr="00C9277E" w:rsidRDefault="00A00583" w:rsidP="00C01053">
      <w:pPr>
        <w:rPr>
          <w:rFonts w:ascii="Arial" w:hAnsi="Arial" w:cs="Arial"/>
          <w:sz w:val="22"/>
        </w:rPr>
      </w:pPr>
    </w:p>
    <w:p w:rsidR="00A00583" w:rsidRPr="00C9277E" w:rsidRDefault="00A00583" w:rsidP="00A00583">
      <w:pPr>
        <w:rPr>
          <w:rFonts w:ascii="Arial" w:hAnsi="Arial" w:cs="Arial"/>
          <w:sz w:val="22"/>
        </w:rPr>
      </w:pPr>
      <w:r w:rsidRPr="00C9277E">
        <w:rPr>
          <w:rFonts w:ascii="Arial" w:hAnsi="Arial" w:cs="Arial"/>
          <w:sz w:val="22"/>
        </w:rPr>
        <w:t xml:space="preserve">Page 13. </w:t>
      </w:r>
    </w:p>
    <w:p w:rsidR="00A00583" w:rsidRDefault="00A00583" w:rsidP="00A00583">
      <w:pPr>
        <w:rPr>
          <w:rFonts w:ascii="Arial" w:hAnsi="Arial" w:cs="Arial"/>
          <w:sz w:val="22"/>
        </w:rPr>
      </w:pPr>
      <w:r w:rsidRPr="00C9277E">
        <w:rPr>
          <w:rFonts w:ascii="Arial" w:hAnsi="Arial" w:cs="Arial"/>
          <w:sz w:val="22"/>
        </w:rPr>
        <w:t>The duty to cooperate – this is mentioned throughout the document and you make reference to having challenged Rushmoor and Surrey Heath numbers</w:t>
      </w:r>
      <w:r w:rsidR="00E41A0D" w:rsidRPr="00C9277E">
        <w:rPr>
          <w:rFonts w:ascii="Arial" w:hAnsi="Arial" w:cs="Arial"/>
          <w:sz w:val="22"/>
        </w:rPr>
        <w:t>. I</w:t>
      </w:r>
      <w:r w:rsidRPr="00C9277E">
        <w:rPr>
          <w:rFonts w:ascii="Arial" w:hAnsi="Arial" w:cs="Arial"/>
          <w:sz w:val="22"/>
        </w:rPr>
        <w:t xml:space="preserve">t is not clear to the public that the impact of having to meet their need – if that is the outcome – will not be until 2025 and that Hart will be building a new settlement to accommodate their unmet needs NOT because Hart needs it. You have a duty of care to help residents of Hart understand that if HDC builds </w:t>
      </w:r>
      <w:r w:rsidR="00E41A0D" w:rsidRPr="00C9277E">
        <w:rPr>
          <w:rFonts w:ascii="Arial" w:hAnsi="Arial" w:cs="Arial"/>
          <w:sz w:val="22"/>
        </w:rPr>
        <w:t xml:space="preserve">a significant number of houses </w:t>
      </w:r>
      <w:r w:rsidRPr="00C9277E">
        <w:rPr>
          <w:rFonts w:ascii="Arial" w:hAnsi="Arial" w:cs="Arial"/>
          <w:sz w:val="22"/>
        </w:rPr>
        <w:t xml:space="preserve">for Rushmoor and Surrey Heath </w:t>
      </w:r>
      <w:r w:rsidR="00E41A0D" w:rsidRPr="00C9277E">
        <w:rPr>
          <w:rFonts w:ascii="Arial" w:hAnsi="Arial" w:cs="Arial"/>
          <w:sz w:val="22"/>
        </w:rPr>
        <w:t xml:space="preserve">in this plan period </w:t>
      </w:r>
      <w:r w:rsidRPr="00C9277E">
        <w:rPr>
          <w:rFonts w:ascii="Arial" w:hAnsi="Arial" w:cs="Arial"/>
          <w:sz w:val="22"/>
        </w:rPr>
        <w:t xml:space="preserve">there will be no defence against taking all their ‘unmet need’ in future plans. </w:t>
      </w:r>
    </w:p>
    <w:p w:rsidR="00A56C5E" w:rsidRPr="00C9277E" w:rsidRDefault="00A56C5E" w:rsidP="00A00583">
      <w:pPr>
        <w:rPr>
          <w:rFonts w:ascii="Arial" w:hAnsi="Arial" w:cs="Arial"/>
          <w:sz w:val="22"/>
        </w:rPr>
      </w:pPr>
    </w:p>
    <w:p w:rsidR="00A00583" w:rsidRDefault="00A00583" w:rsidP="00A00583">
      <w:pPr>
        <w:rPr>
          <w:rFonts w:ascii="Arial" w:hAnsi="Arial" w:cs="Arial"/>
          <w:sz w:val="22"/>
        </w:rPr>
      </w:pPr>
      <w:r w:rsidRPr="00C9277E">
        <w:rPr>
          <w:rFonts w:ascii="Arial" w:hAnsi="Arial" w:cs="Arial"/>
          <w:sz w:val="22"/>
        </w:rPr>
        <w:t xml:space="preserve">Residents of Hart should also understand that a new settlement of around 1500 - 2000 homes, which </w:t>
      </w:r>
      <w:r w:rsidRPr="00C9277E">
        <w:rPr>
          <w:rFonts w:ascii="Arial" w:hAnsi="Arial" w:cs="Arial"/>
          <w:b/>
          <w:sz w:val="22"/>
        </w:rPr>
        <w:t xml:space="preserve">might </w:t>
      </w:r>
      <w:r w:rsidRPr="00C9277E">
        <w:rPr>
          <w:rFonts w:ascii="Arial" w:hAnsi="Arial" w:cs="Arial"/>
          <w:sz w:val="22"/>
        </w:rPr>
        <w:t xml:space="preserve">be the Hart need by the end of the plan period, is ‘not sustainable ‘as it will not generate the new schools, health centres and other infrastructure that would be required. </w:t>
      </w:r>
    </w:p>
    <w:p w:rsidR="00A56C5E" w:rsidRPr="00C9277E" w:rsidRDefault="00A56C5E" w:rsidP="00A00583">
      <w:pPr>
        <w:rPr>
          <w:rFonts w:ascii="Arial" w:hAnsi="Arial" w:cs="Arial"/>
          <w:sz w:val="22"/>
        </w:rPr>
      </w:pPr>
    </w:p>
    <w:p w:rsidR="00A00583" w:rsidRDefault="00A00583" w:rsidP="00A00583">
      <w:pPr>
        <w:rPr>
          <w:rFonts w:ascii="Arial" w:hAnsi="Arial" w:cs="Arial"/>
          <w:sz w:val="22"/>
        </w:rPr>
      </w:pPr>
      <w:r w:rsidRPr="00C9277E">
        <w:rPr>
          <w:rFonts w:ascii="Arial" w:hAnsi="Arial" w:cs="Arial"/>
          <w:sz w:val="22"/>
        </w:rPr>
        <w:t>It is vital that Hart residents are given sufficient facts before you can ask them if they do or do not want a new settlement in their District.</w:t>
      </w:r>
    </w:p>
    <w:p w:rsidR="008B3B2C" w:rsidRPr="00C9277E" w:rsidRDefault="008B3B2C" w:rsidP="00A00583">
      <w:pPr>
        <w:rPr>
          <w:rFonts w:ascii="Arial" w:hAnsi="Arial" w:cs="Arial"/>
          <w:sz w:val="22"/>
        </w:rPr>
      </w:pPr>
    </w:p>
    <w:p w:rsidR="00A00583" w:rsidRPr="00C9277E" w:rsidRDefault="00A00583" w:rsidP="00A00583">
      <w:pPr>
        <w:rPr>
          <w:rFonts w:ascii="Arial" w:hAnsi="Arial" w:cs="Arial"/>
          <w:sz w:val="22"/>
        </w:rPr>
      </w:pPr>
    </w:p>
    <w:p w:rsidR="00A00583" w:rsidRPr="00C9277E" w:rsidRDefault="00A00583" w:rsidP="00A00583">
      <w:pPr>
        <w:rPr>
          <w:rFonts w:ascii="Arial" w:hAnsi="Arial" w:cs="Arial"/>
          <w:sz w:val="22"/>
        </w:rPr>
      </w:pPr>
      <w:r w:rsidRPr="00C9277E">
        <w:rPr>
          <w:rFonts w:ascii="Arial" w:hAnsi="Arial" w:cs="Arial"/>
          <w:sz w:val="22"/>
        </w:rPr>
        <w:t>Page 1</w:t>
      </w:r>
      <w:r w:rsidR="00332CC7" w:rsidRPr="00C9277E">
        <w:rPr>
          <w:rFonts w:ascii="Arial" w:hAnsi="Arial" w:cs="Arial"/>
          <w:sz w:val="22"/>
        </w:rPr>
        <w:t>7</w:t>
      </w:r>
    </w:p>
    <w:p w:rsidR="00A00583" w:rsidRPr="00C9277E" w:rsidRDefault="000F5202" w:rsidP="00A00583">
      <w:pPr>
        <w:rPr>
          <w:rFonts w:ascii="Arial" w:hAnsi="Arial" w:cs="Arial"/>
          <w:sz w:val="22"/>
        </w:rPr>
      </w:pPr>
      <w:r w:rsidRPr="00C9277E">
        <w:rPr>
          <w:rFonts w:ascii="Arial" w:hAnsi="Arial" w:cs="Arial"/>
          <w:sz w:val="22"/>
        </w:rPr>
        <w:t>To provide a complete picture y</w:t>
      </w:r>
      <w:r w:rsidR="00A00583" w:rsidRPr="00C9277E">
        <w:rPr>
          <w:rFonts w:ascii="Arial" w:hAnsi="Arial" w:cs="Arial"/>
          <w:sz w:val="22"/>
        </w:rPr>
        <w:t>ou should show all SHLAA sites as submitted on this map (as in the SHLAA Site Shortlisting Outcomes paper’</w:t>
      </w:r>
      <w:r w:rsidR="00D313EF" w:rsidRPr="00C9277E">
        <w:rPr>
          <w:rFonts w:ascii="Arial" w:hAnsi="Arial" w:cs="Arial"/>
          <w:sz w:val="22"/>
        </w:rPr>
        <w:t>) regardless</w:t>
      </w:r>
      <w:r w:rsidR="00A00583" w:rsidRPr="00C9277E">
        <w:rPr>
          <w:rFonts w:ascii="Arial" w:hAnsi="Arial" w:cs="Arial"/>
          <w:sz w:val="22"/>
        </w:rPr>
        <w:t xml:space="preserve"> of their current status after assessment</w:t>
      </w:r>
      <w:r w:rsidRPr="00C9277E">
        <w:rPr>
          <w:rFonts w:ascii="Arial" w:hAnsi="Arial" w:cs="Arial"/>
          <w:sz w:val="22"/>
        </w:rPr>
        <w:t xml:space="preserve">. </w:t>
      </w:r>
    </w:p>
    <w:p w:rsidR="00A00583" w:rsidRPr="00C9277E" w:rsidRDefault="00A00583" w:rsidP="00A00583">
      <w:pPr>
        <w:rPr>
          <w:rFonts w:ascii="Arial" w:hAnsi="Arial" w:cs="Arial"/>
          <w:sz w:val="22"/>
        </w:rPr>
      </w:pPr>
    </w:p>
    <w:p w:rsidR="0006686F" w:rsidRPr="00C9277E" w:rsidRDefault="0006686F" w:rsidP="00C01053">
      <w:pPr>
        <w:rPr>
          <w:rFonts w:ascii="Arial" w:hAnsi="Arial" w:cs="Arial"/>
          <w:sz w:val="22"/>
        </w:rPr>
      </w:pPr>
      <w:r w:rsidRPr="00C9277E">
        <w:rPr>
          <w:rFonts w:ascii="Arial" w:hAnsi="Arial" w:cs="Arial"/>
          <w:sz w:val="22"/>
        </w:rPr>
        <w:t>Page 2</w:t>
      </w:r>
      <w:r w:rsidR="00332CC7" w:rsidRPr="00C9277E">
        <w:rPr>
          <w:rFonts w:ascii="Arial" w:hAnsi="Arial" w:cs="Arial"/>
          <w:sz w:val="22"/>
        </w:rPr>
        <w:t>0</w:t>
      </w:r>
    </w:p>
    <w:p w:rsidR="001F3E81" w:rsidRPr="00C9277E" w:rsidRDefault="00C354C9" w:rsidP="00C01053">
      <w:pPr>
        <w:rPr>
          <w:rFonts w:ascii="Arial" w:hAnsi="Arial" w:cs="Arial"/>
          <w:sz w:val="22"/>
        </w:rPr>
      </w:pPr>
      <w:r w:rsidRPr="00C9277E">
        <w:rPr>
          <w:rFonts w:ascii="Arial" w:hAnsi="Arial" w:cs="Arial"/>
          <w:sz w:val="22"/>
        </w:rPr>
        <w:t>The SPA map should also show the 5km zone of influence</w:t>
      </w:r>
      <w:r w:rsidR="00227908" w:rsidRPr="00C9277E">
        <w:rPr>
          <w:rFonts w:ascii="Arial" w:hAnsi="Arial" w:cs="Arial"/>
          <w:sz w:val="22"/>
        </w:rPr>
        <w:t xml:space="preserve">, this is shown </w:t>
      </w:r>
      <w:r w:rsidR="007E230C" w:rsidRPr="00C9277E">
        <w:rPr>
          <w:rFonts w:ascii="Arial" w:hAnsi="Arial" w:cs="Arial"/>
          <w:sz w:val="22"/>
        </w:rPr>
        <w:t xml:space="preserve">on </w:t>
      </w:r>
      <w:r w:rsidR="000F5202" w:rsidRPr="00C9277E">
        <w:rPr>
          <w:rFonts w:ascii="Arial" w:hAnsi="Arial" w:cs="Arial"/>
          <w:sz w:val="22"/>
        </w:rPr>
        <w:t xml:space="preserve">a </w:t>
      </w:r>
      <w:r w:rsidR="007E230C" w:rsidRPr="00C9277E">
        <w:rPr>
          <w:rFonts w:ascii="Arial" w:hAnsi="Arial" w:cs="Arial"/>
          <w:sz w:val="22"/>
        </w:rPr>
        <w:t>later</w:t>
      </w:r>
      <w:r w:rsidR="00227908" w:rsidRPr="00C9277E">
        <w:rPr>
          <w:rFonts w:ascii="Arial" w:hAnsi="Arial" w:cs="Arial"/>
          <w:sz w:val="22"/>
        </w:rPr>
        <w:t xml:space="preserve"> map but should be included in the constraints section of the document</w:t>
      </w:r>
      <w:r w:rsidR="0006686F" w:rsidRPr="00C9277E">
        <w:rPr>
          <w:rFonts w:ascii="Arial" w:hAnsi="Arial" w:cs="Arial"/>
          <w:sz w:val="22"/>
        </w:rPr>
        <w:t xml:space="preserve"> to inform reader conclusions.   </w:t>
      </w:r>
    </w:p>
    <w:p w:rsidR="001F3E81" w:rsidRPr="00C9277E" w:rsidRDefault="001F3E81" w:rsidP="00C01053">
      <w:pPr>
        <w:rPr>
          <w:rFonts w:ascii="Arial" w:hAnsi="Arial" w:cs="Arial"/>
          <w:sz w:val="22"/>
        </w:rPr>
      </w:pPr>
    </w:p>
    <w:p w:rsidR="00A77550" w:rsidRPr="00C9277E" w:rsidRDefault="00A77550" w:rsidP="00C01053">
      <w:pPr>
        <w:rPr>
          <w:rFonts w:ascii="Arial" w:hAnsi="Arial" w:cs="Arial"/>
          <w:sz w:val="22"/>
        </w:rPr>
      </w:pPr>
      <w:r w:rsidRPr="00C9277E">
        <w:rPr>
          <w:rFonts w:ascii="Arial" w:hAnsi="Arial" w:cs="Arial"/>
          <w:sz w:val="22"/>
        </w:rPr>
        <w:t>Page 2</w:t>
      </w:r>
      <w:r w:rsidR="00332CC7" w:rsidRPr="00C9277E">
        <w:rPr>
          <w:rFonts w:ascii="Arial" w:hAnsi="Arial" w:cs="Arial"/>
          <w:sz w:val="22"/>
        </w:rPr>
        <w:t>2 #42 and page 23, Q3</w:t>
      </w:r>
    </w:p>
    <w:p w:rsidR="008369FB" w:rsidRPr="00C9277E" w:rsidRDefault="0006686F" w:rsidP="00C01053">
      <w:pPr>
        <w:rPr>
          <w:rFonts w:ascii="Arial" w:hAnsi="Arial" w:cs="Arial"/>
          <w:sz w:val="22"/>
        </w:rPr>
      </w:pPr>
      <w:r w:rsidRPr="00C9277E">
        <w:rPr>
          <w:rFonts w:ascii="Arial" w:hAnsi="Arial" w:cs="Arial"/>
          <w:sz w:val="22"/>
        </w:rPr>
        <w:t xml:space="preserve">You ask the question whether the public agrees that the </w:t>
      </w:r>
      <w:r w:rsidR="00D313EF" w:rsidRPr="00C9277E">
        <w:rPr>
          <w:rFonts w:ascii="Arial" w:hAnsi="Arial" w:cs="Arial"/>
          <w:sz w:val="22"/>
        </w:rPr>
        <w:t>hierarchy is</w:t>
      </w:r>
      <w:r w:rsidR="008369FB" w:rsidRPr="00C9277E">
        <w:rPr>
          <w:rFonts w:ascii="Arial" w:hAnsi="Arial" w:cs="Arial"/>
          <w:sz w:val="22"/>
        </w:rPr>
        <w:t xml:space="preserve"> correct; </w:t>
      </w:r>
      <w:r w:rsidR="001F3E81" w:rsidRPr="00C9277E">
        <w:rPr>
          <w:rFonts w:ascii="Arial" w:hAnsi="Arial" w:cs="Arial"/>
          <w:sz w:val="22"/>
        </w:rPr>
        <w:t xml:space="preserve">we can find no reference to the acceptance of the hierarchy changes proposed in the 2010 document. If </w:t>
      </w:r>
      <w:r w:rsidR="00A77550" w:rsidRPr="00C9277E">
        <w:rPr>
          <w:rFonts w:ascii="Arial" w:hAnsi="Arial" w:cs="Arial"/>
          <w:sz w:val="22"/>
        </w:rPr>
        <w:t xml:space="preserve">the changes were accepted then </w:t>
      </w:r>
      <w:r w:rsidR="001F3E81" w:rsidRPr="00C9277E">
        <w:rPr>
          <w:rFonts w:ascii="Arial" w:hAnsi="Arial" w:cs="Arial"/>
          <w:sz w:val="22"/>
        </w:rPr>
        <w:t xml:space="preserve">you must tell the public quite clearly that tier 5 villages </w:t>
      </w:r>
      <w:r w:rsidR="00A77550" w:rsidRPr="00C9277E">
        <w:rPr>
          <w:rFonts w:ascii="Arial" w:hAnsi="Arial" w:cs="Arial"/>
          <w:sz w:val="22"/>
        </w:rPr>
        <w:t xml:space="preserve">– and you </w:t>
      </w:r>
      <w:r w:rsidR="007E230C" w:rsidRPr="00C9277E">
        <w:rPr>
          <w:rFonts w:ascii="Arial" w:hAnsi="Arial" w:cs="Arial"/>
          <w:sz w:val="22"/>
        </w:rPr>
        <w:t>must</w:t>
      </w:r>
      <w:r w:rsidR="00A77550" w:rsidRPr="00C9277E">
        <w:rPr>
          <w:rFonts w:ascii="Arial" w:hAnsi="Arial" w:cs="Arial"/>
          <w:sz w:val="22"/>
        </w:rPr>
        <w:t xml:space="preserve"> list them by name - </w:t>
      </w:r>
      <w:r w:rsidR="001F3E81" w:rsidRPr="00C9277E">
        <w:rPr>
          <w:rFonts w:ascii="Arial" w:hAnsi="Arial" w:cs="Arial"/>
          <w:sz w:val="22"/>
        </w:rPr>
        <w:t xml:space="preserve">were </w:t>
      </w:r>
      <w:r w:rsidR="00A77550" w:rsidRPr="00C9277E">
        <w:rPr>
          <w:rFonts w:ascii="Arial" w:hAnsi="Arial" w:cs="Arial"/>
          <w:sz w:val="22"/>
        </w:rPr>
        <w:t xml:space="preserve">excluded from any </w:t>
      </w:r>
      <w:r w:rsidR="007E230C" w:rsidRPr="00C9277E">
        <w:rPr>
          <w:rFonts w:ascii="Arial" w:hAnsi="Arial" w:cs="Arial"/>
          <w:sz w:val="22"/>
        </w:rPr>
        <w:t>calculations</w:t>
      </w:r>
      <w:r w:rsidR="00A77550" w:rsidRPr="00C9277E">
        <w:rPr>
          <w:rFonts w:ascii="Arial" w:hAnsi="Arial" w:cs="Arial"/>
          <w:sz w:val="22"/>
        </w:rPr>
        <w:t xml:space="preserve"> for forward development </w:t>
      </w:r>
      <w:r w:rsidRPr="00C9277E">
        <w:rPr>
          <w:rFonts w:ascii="Arial" w:hAnsi="Arial" w:cs="Arial"/>
          <w:sz w:val="22"/>
        </w:rPr>
        <w:t xml:space="preserve">planning </w:t>
      </w:r>
      <w:r w:rsidR="00A77550" w:rsidRPr="00C9277E">
        <w:rPr>
          <w:rFonts w:ascii="Arial" w:hAnsi="Arial" w:cs="Arial"/>
          <w:sz w:val="22"/>
        </w:rPr>
        <w:t xml:space="preserve">on account of being too small and too rural to meet infrastructure needs or provide access without the use of a car. </w:t>
      </w:r>
    </w:p>
    <w:p w:rsidR="0006686F" w:rsidRPr="00C9277E" w:rsidRDefault="0006686F" w:rsidP="00C01053">
      <w:pPr>
        <w:rPr>
          <w:rFonts w:ascii="Arial" w:hAnsi="Arial" w:cs="Arial"/>
          <w:sz w:val="22"/>
        </w:rPr>
      </w:pPr>
    </w:p>
    <w:p w:rsidR="0006686F" w:rsidRPr="00C9277E" w:rsidRDefault="0006686F" w:rsidP="00C01053">
      <w:pPr>
        <w:rPr>
          <w:rFonts w:ascii="Arial" w:hAnsi="Arial" w:cs="Arial"/>
          <w:sz w:val="22"/>
        </w:rPr>
      </w:pPr>
      <w:r w:rsidRPr="00C9277E">
        <w:rPr>
          <w:rFonts w:ascii="Arial" w:hAnsi="Arial" w:cs="Arial"/>
          <w:sz w:val="22"/>
        </w:rPr>
        <w:t xml:space="preserve">Page </w:t>
      </w:r>
      <w:r w:rsidR="00332CC7" w:rsidRPr="00C9277E">
        <w:rPr>
          <w:rFonts w:ascii="Arial" w:hAnsi="Arial" w:cs="Arial"/>
          <w:sz w:val="22"/>
        </w:rPr>
        <w:t>29</w:t>
      </w:r>
      <w:r w:rsidRPr="00C9277E">
        <w:rPr>
          <w:rFonts w:ascii="Arial" w:hAnsi="Arial" w:cs="Arial"/>
          <w:sz w:val="22"/>
        </w:rPr>
        <w:t xml:space="preserve"> </w:t>
      </w:r>
    </w:p>
    <w:p w:rsidR="00250279" w:rsidRPr="00C9277E" w:rsidRDefault="0006686F" w:rsidP="00C01053">
      <w:pPr>
        <w:rPr>
          <w:rFonts w:ascii="Arial" w:hAnsi="Arial" w:cs="Arial"/>
          <w:sz w:val="22"/>
        </w:rPr>
      </w:pPr>
      <w:r w:rsidRPr="00C9277E">
        <w:rPr>
          <w:rFonts w:ascii="Arial" w:hAnsi="Arial" w:cs="Arial"/>
          <w:sz w:val="22"/>
        </w:rPr>
        <w:t>Y</w:t>
      </w:r>
      <w:r w:rsidR="008369FB" w:rsidRPr="00C9277E">
        <w:rPr>
          <w:rFonts w:ascii="Arial" w:hAnsi="Arial" w:cs="Arial"/>
          <w:sz w:val="22"/>
        </w:rPr>
        <w:t xml:space="preserve">ou show a table </w:t>
      </w:r>
      <w:r w:rsidR="007221D3" w:rsidRPr="00C9277E">
        <w:rPr>
          <w:rFonts w:ascii="Arial" w:hAnsi="Arial" w:cs="Arial"/>
          <w:sz w:val="22"/>
        </w:rPr>
        <w:t xml:space="preserve">of dispersal sites </w:t>
      </w:r>
      <w:r w:rsidR="008369FB" w:rsidRPr="00C9277E">
        <w:rPr>
          <w:rFonts w:ascii="Arial" w:hAnsi="Arial" w:cs="Arial"/>
          <w:sz w:val="22"/>
        </w:rPr>
        <w:t xml:space="preserve">which implies that Winchfield has not offered any sites. </w:t>
      </w:r>
      <w:r w:rsidR="000F5202" w:rsidRPr="00C9277E">
        <w:rPr>
          <w:rFonts w:ascii="Arial" w:hAnsi="Arial" w:cs="Arial"/>
          <w:sz w:val="22"/>
        </w:rPr>
        <w:t>Once you have resolved the hierarchy question above y</w:t>
      </w:r>
      <w:r w:rsidR="008369FB" w:rsidRPr="00C9277E">
        <w:rPr>
          <w:rFonts w:ascii="Arial" w:hAnsi="Arial" w:cs="Arial"/>
          <w:sz w:val="22"/>
        </w:rPr>
        <w:t xml:space="preserve">ou must either state that all tier 5 villages are not </w:t>
      </w:r>
      <w:r w:rsidR="007E230C" w:rsidRPr="00C9277E">
        <w:rPr>
          <w:rFonts w:ascii="Arial" w:hAnsi="Arial" w:cs="Arial"/>
          <w:sz w:val="22"/>
        </w:rPr>
        <w:t>required</w:t>
      </w:r>
      <w:r w:rsidR="008369FB" w:rsidRPr="00C9277E">
        <w:rPr>
          <w:rFonts w:ascii="Arial" w:hAnsi="Arial" w:cs="Arial"/>
          <w:sz w:val="22"/>
        </w:rPr>
        <w:t xml:space="preserve"> to offer any </w:t>
      </w:r>
      <w:r w:rsidR="007221D3" w:rsidRPr="00C9277E">
        <w:rPr>
          <w:rFonts w:ascii="Arial" w:hAnsi="Arial" w:cs="Arial"/>
          <w:sz w:val="22"/>
        </w:rPr>
        <w:t xml:space="preserve">as they are ‘not sustainable’ (as you have done for Heckfield) </w:t>
      </w:r>
      <w:r w:rsidR="008369FB" w:rsidRPr="00C9277E">
        <w:rPr>
          <w:rFonts w:ascii="Arial" w:hAnsi="Arial" w:cs="Arial"/>
          <w:sz w:val="22"/>
        </w:rPr>
        <w:t xml:space="preserve">OR you must show the </w:t>
      </w:r>
      <w:r w:rsidR="00250279" w:rsidRPr="00C9277E">
        <w:rPr>
          <w:rFonts w:ascii="Arial" w:hAnsi="Arial" w:cs="Arial"/>
          <w:sz w:val="22"/>
        </w:rPr>
        <w:t>total number of new homes which could be realised from the Winchfield ‘candidate sites’</w:t>
      </w:r>
    </w:p>
    <w:p w:rsidR="00BA553F" w:rsidRPr="00C9277E" w:rsidRDefault="00BA553F" w:rsidP="00BA553F">
      <w:pPr>
        <w:rPr>
          <w:rFonts w:ascii="Arial" w:hAnsi="Arial" w:cs="Arial"/>
          <w:sz w:val="22"/>
        </w:rPr>
      </w:pPr>
      <w:r w:rsidRPr="00C9277E">
        <w:rPr>
          <w:rFonts w:ascii="Arial" w:hAnsi="Arial" w:cs="Arial"/>
          <w:sz w:val="22"/>
        </w:rPr>
        <w:t xml:space="preserve">Also, Winchfield has put forward planning applications which were supported by WPC but were refused by HDC.  </w:t>
      </w:r>
    </w:p>
    <w:p w:rsidR="00BA553F" w:rsidRPr="00C9277E" w:rsidRDefault="00BA553F" w:rsidP="00C01053">
      <w:pPr>
        <w:rPr>
          <w:rFonts w:ascii="Arial" w:hAnsi="Arial" w:cs="Arial"/>
          <w:sz w:val="22"/>
        </w:rPr>
      </w:pPr>
    </w:p>
    <w:p w:rsidR="002E614F" w:rsidRDefault="002E614F" w:rsidP="00C01053">
      <w:pPr>
        <w:rPr>
          <w:rFonts w:ascii="Arial" w:hAnsi="Arial" w:cs="Arial"/>
          <w:sz w:val="22"/>
        </w:rPr>
      </w:pPr>
    </w:p>
    <w:p w:rsidR="007221D3" w:rsidRPr="00C9277E" w:rsidRDefault="00730E1F" w:rsidP="00C01053">
      <w:pPr>
        <w:rPr>
          <w:rFonts w:ascii="Arial" w:hAnsi="Arial" w:cs="Arial"/>
          <w:sz w:val="22"/>
        </w:rPr>
      </w:pPr>
      <w:r w:rsidRPr="00C9277E">
        <w:rPr>
          <w:rFonts w:ascii="Arial" w:hAnsi="Arial" w:cs="Arial"/>
          <w:sz w:val="22"/>
        </w:rPr>
        <w:lastRenderedPageBreak/>
        <w:t>Page 3</w:t>
      </w:r>
      <w:r w:rsidR="00332CC7" w:rsidRPr="00C9277E">
        <w:rPr>
          <w:rFonts w:ascii="Arial" w:hAnsi="Arial" w:cs="Arial"/>
          <w:sz w:val="22"/>
        </w:rPr>
        <w:t>1</w:t>
      </w:r>
      <w:r w:rsidRPr="00C9277E">
        <w:rPr>
          <w:rFonts w:ascii="Arial" w:hAnsi="Arial" w:cs="Arial"/>
          <w:sz w:val="22"/>
        </w:rPr>
        <w:t xml:space="preserve"> </w:t>
      </w:r>
    </w:p>
    <w:p w:rsidR="00730E1F" w:rsidRPr="00C9277E" w:rsidRDefault="00332CC7" w:rsidP="00C01053">
      <w:pPr>
        <w:rPr>
          <w:rFonts w:ascii="Arial" w:hAnsi="Arial" w:cs="Arial"/>
          <w:sz w:val="22"/>
        </w:rPr>
      </w:pPr>
      <w:r w:rsidRPr="00C9277E">
        <w:rPr>
          <w:rFonts w:ascii="Arial" w:hAnsi="Arial" w:cs="Arial"/>
          <w:sz w:val="22"/>
        </w:rPr>
        <w:t>‘Dispersal Opportunities’ t</w:t>
      </w:r>
      <w:r w:rsidR="00730E1F" w:rsidRPr="00C9277E">
        <w:rPr>
          <w:rFonts w:ascii="Arial" w:hAnsi="Arial" w:cs="Arial"/>
          <w:sz w:val="22"/>
        </w:rPr>
        <w:t>he legend is incorrect, it is not just the main settlements and to provide an accurate picture to inform readers it should include the two Winchfield settlement boundar</w:t>
      </w:r>
      <w:r w:rsidR="000F5202" w:rsidRPr="00C9277E">
        <w:rPr>
          <w:rFonts w:ascii="Arial" w:hAnsi="Arial" w:cs="Arial"/>
          <w:sz w:val="22"/>
        </w:rPr>
        <w:t>i</w:t>
      </w:r>
      <w:r w:rsidR="00730E1F" w:rsidRPr="00C9277E">
        <w:rPr>
          <w:rFonts w:ascii="Arial" w:hAnsi="Arial" w:cs="Arial"/>
          <w:sz w:val="22"/>
        </w:rPr>
        <w:t>es</w:t>
      </w:r>
      <w:r w:rsidRPr="00C9277E">
        <w:rPr>
          <w:rFonts w:ascii="Arial" w:hAnsi="Arial" w:cs="Arial"/>
          <w:sz w:val="22"/>
        </w:rPr>
        <w:t xml:space="preserve">, </w:t>
      </w:r>
      <w:r w:rsidR="00730E1F" w:rsidRPr="00C9277E">
        <w:rPr>
          <w:rFonts w:ascii="Arial" w:hAnsi="Arial" w:cs="Arial"/>
          <w:sz w:val="22"/>
        </w:rPr>
        <w:t>the village name ‘Winchfield’</w:t>
      </w:r>
      <w:r w:rsidRPr="00C9277E">
        <w:rPr>
          <w:rFonts w:ascii="Arial" w:hAnsi="Arial" w:cs="Arial"/>
          <w:sz w:val="22"/>
        </w:rPr>
        <w:t xml:space="preserve"> and it should also show the Winchfield ‘opportunities’</w:t>
      </w:r>
    </w:p>
    <w:p w:rsidR="00730E1F" w:rsidRPr="00C9277E" w:rsidRDefault="00730E1F" w:rsidP="00C01053">
      <w:pPr>
        <w:rPr>
          <w:rFonts w:ascii="Arial" w:hAnsi="Arial" w:cs="Arial"/>
          <w:sz w:val="22"/>
        </w:rPr>
      </w:pPr>
      <w:r w:rsidRPr="00C9277E">
        <w:rPr>
          <w:rFonts w:ascii="Arial" w:hAnsi="Arial" w:cs="Arial"/>
          <w:sz w:val="22"/>
        </w:rPr>
        <w:t xml:space="preserve"> </w:t>
      </w:r>
    </w:p>
    <w:p w:rsidR="00BA553F" w:rsidRPr="00C9277E" w:rsidRDefault="00BA553F" w:rsidP="00C01053">
      <w:pPr>
        <w:rPr>
          <w:rFonts w:ascii="Arial" w:hAnsi="Arial" w:cs="Arial"/>
          <w:sz w:val="22"/>
        </w:rPr>
      </w:pPr>
      <w:r w:rsidRPr="00C9277E">
        <w:rPr>
          <w:rFonts w:ascii="Arial" w:hAnsi="Arial" w:cs="Arial"/>
          <w:sz w:val="22"/>
        </w:rPr>
        <w:t>Page 3</w:t>
      </w:r>
      <w:r w:rsidR="00332CC7" w:rsidRPr="00C9277E">
        <w:rPr>
          <w:rFonts w:ascii="Arial" w:hAnsi="Arial" w:cs="Arial"/>
          <w:sz w:val="22"/>
        </w:rPr>
        <w:t>9</w:t>
      </w:r>
      <w:r w:rsidRPr="00C9277E">
        <w:rPr>
          <w:rFonts w:ascii="Arial" w:hAnsi="Arial" w:cs="Arial"/>
          <w:sz w:val="22"/>
        </w:rPr>
        <w:t>.</w:t>
      </w:r>
    </w:p>
    <w:p w:rsidR="00BA553F" w:rsidRPr="00C9277E" w:rsidRDefault="00332CC7" w:rsidP="00BA553F">
      <w:pPr>
        <w:rPr>
          <w:rFonts w:ascii="Arial" w:hAnsi="Arial" w:cs="Arial"/>
          <w:sz w:val="22"/>
        </w:rPr>
      </w:pPr>
      <w:r w:rsidRPr="00C9277E">
        <w:rPr>
          <w:rFonts w:ascii="Arial" w:hAnsi="Arial" w:cs="Arial"/>
          <w:sz w:val="22"/>
        </w:rPr>
        <w:t>T</w:t>
      </w:r>
      <w:r w:rsidR="00BA553F" w:rsidRPr="00C9277E">
        <w:rPr>
          <w:rFonts w:ascii="Arial" w:hAnsi="Arial" w:cs="Arial"/>
          <w:sz w:val="22"/>
        </w:rPr>
        <w:t>he statement ‘</w:t>
      </w:r>
      <w:r w:rsidRPr="00C9277E">
        <w:rPr>
          <w:rFonts w:ascii="Arial" w:hAnsi="Arial" w:cs="Arial"/>
          <w:sz w:val="22"/>
        </w:rPr>
        <w:t>t</w:t>
      </w:r>
      <w:r w:rsidR="00BA553F" w:rsidRPr="00C9277E">
        <w:rPr>
          <w:rFonts w:ascii="Arial" w:hAnsi="Arial" w:cs="Arial"/>
          <w:sz w:val="22"/>
        </w:rPr>
        <w:t xml:space="preserve">he only location that is being brought forward as a deliverable option by developers for a new settlement is the area centred around Winchfield’ should state that the developer is Barratts. Given the issues at Barratts most recent development in the area, St Marys, the public has a right to know who the proposal has come from so that residents can judge if they think the developer is capable of providing the sort of development the district needs and could be proud of.  Additionally the use of a single developer should be shown as a risk as this could well lead to substantially inflated cost implications and delivery delays.  </w:t>
      </w:r>
    </w:p>
    <w:p w:rsidR="00BA553F" w:rsidRPr="00C9277E" w:rsidRDefault="00BA553F" w:rsidP="00BA553F">
      <w:pPr>
        <w:rPr>
          <w:rFonts w:ascii="Arial" w:hAnsi="Arial" w:cs="Arial"/>
          <w:sz w:val="22"/>
        </w:rPr>
      </w:pPr>
    </w:p>
    <w:p w:rsidR="00BA553F" w:rsidRDefault="00BA553F" w:rsidP="00BA553F">
      <w:pPr>
        <w:rPr>
          <w:rFonts w:ascii="Arial" w:hAnsi="Arial" w:cs="Arial"/>
          <w:sz w:val="22"/>
        </w:rPr>
      </w:pPr>
      <w:r w:rsidRPr="00C9277E">
        <w:rPr>
          <w:rFonts w:ascii="Arial" w:hAnsi="Arial" w:cs="Arial"/>
          <w:sz w:val="22"/>
        </w:rPr>
        <w:t>"The presence of a railway station on the main line to Waterloo is an advantage for this location" is misleading since no detailed transport analysis (road or rail) has been done to assess the implications</w:t>
      </w:r>
      <w:r w:rsidR="00E41A0D" w:rsidRPr="00C9277E">
        <w:rPr>
          <w:rFonts w:ascii="Arial" w:hAnsi="Arial" w:cs="Arial"/>
          <w:sz w:val="22"/>
        </w:rPr>
        <w:t xml:space="preserve">, positive or negative, </w:t>
      </w:r>
      <w:r w:rsidRPr="00C9277E">
        <w:rPr>
          <w:rFonts w:ascii="Arial" w:hAnsi="Arial" w:cs="Arial"/>
          <w:sz w:val="22"/>
        </w:rPr>
        <w:t>of a new settlement at Winchfield</w:t>
      </w:r>
      <w:r w:rsidR="00EE17F5">
        <w:rPr>
          <w:rFonts w:ascii="Arial" w:hAnsi="Arial" w:cs="Arial"/>
          <w:sz w:val="22"/>
        </w:rPr>
        <w:t xml:space="preserve">. SWT </w:t>
      </w:r>
      <w:r w:rsidR="008174E0">
        <w:rPr>
          <w:rFonts w:ascii="Arial" w:hAnsi="Arial" w:cs="Arial"/>
          <w:sz w:val="22"/>
        </w:rPr>
        <w:t xml:space="preserve">have stated </w:t>
      </w:r>
      <w:r w:rsidR="00EE17F5">
        <w:rPr>
          <w:rFonts w:ascii="Arial" w:hAnsi="Arial" w:cs="Arial"/>
          <w:sz w:val="22"/>
        </w:rPr>
        <w:t xml:space="preserve">the line is operating at capacity.  </w:t>
      </w:r>
    </w:p>
    <w:p w:rsidR="008174E0" w:rsidRPr="00C9277E" w:rsidRDefault="008174E0" w:rsidP="00BA553F">
      <w:pPr>
        <w:rPr>
          <w:rFonts w:ascii="Arial" w:hAnsi="Arial" w:cs="Arial"/>
          <w:sz w:val="22"/>
        </w:rPr>
      </w:pPr>
    </w:p>
    <w:p w:rsidR="00BA553F" w:rsidRPr="00C9277E" w:rsidRDefault="00BA553F" w:rsidP="00BA553F">
      <w:pPr>
        <w:rPr>
          <w:rFonts w:ascii="Arial" w:hAnsi="Arial" w:cs="Arial"/>
          <w:sz w:val="22"/>
        </w:rPr>
      </w:pPr>
      <w:r w:rsidRPr="00C9277E">
        <w:rPr>
          <w:rFonts w:ascii="Arial" w:hAnsi="Arial" w:cs="Arial"/>
          <w:sz w:val="22"/>
        </w:rPr>
        <w:t xml:space="preserve">"They may also have the advantage of taking development pressure off otherwise constrained existing settlements" implies that the additional road and rail traffic which will result from up to 5000 new houses will not impact the remainder of Hart. </w:t>
      </w:r>
      <w:r w:rsidR="00E41A0D" w:rsidRPr="00C9277E">
        <w:rPr>
          <w:rFonts w:ascii="Arial" w:hAnsi="Arial" w:cs="Arial"/>
          <w:sz w:val="22"/>
        </w:rPr>
        <w:t>Residents, particularly in Hartley Wintney, D</w:t>
      </w:r>
      <w:r w:rsidR="008B3B2C">
        <w:rPr>
          <w:rFonts w:ascii="Arial" w:hAnsi="Arial" w:cs="Arial"/>
          <w:sz w:val="22"/>
        </w:rPr>
        <w:t xml:space="preserve">ogmersfield, Crookham Village, </w:t>
      </w:r>
      <w:r w:rsidR="00E41A0D" w:rsidRPr="00C9277E">
        <w:rPr>
          <w:rFonts w:ascii="Arial" w:hAnsi="Arial" w:cs="Arial"/>
          <w:sz w:val="22"/>
        </w:rPr>
        <w:t xml:space="preserve">Fleet, Elvetham Heath, Odiham and North Warnborough, need to be fully informed. </w:t>
      </w:r>
    </w:p>
    <w:p w:rsidR="00BA553F" w:rsidRPr="00C9277E" w:rsidRDefault="00BA553F" w:rsidP="00C01053">
      <w:pPr>
        <w:rPr>
          <w:rFonts w:ascii="Arial" w:hAnsi="Arial" w:cs="Arial"/>
          <w:sz w:val="22"/>
        </w:rPr>
      </w:pPr>
    </w:p>
    <w:p w:rsidR="00332CC7" w:rsidRPr="00C9277E" w:rsidRDefault="00332CC7" w:rsidP="00332CC7">
      <w:pPr>
        <w:rPr>
          <w:rFonts w:ascii="Arial" w:hAnsi="Arial" w:cs="Arial"/>
          <w:sz w:val="22"/>
        </w:rPr>
      </w:pPr>
      <w:r w:rsidRPr="00C9277E">
        <w:rPr>
          <w:rFonts w:ascii="Arial" w:hAnsi="Arial" w:cs="Arial"/>
          <w:sz w:val="22"/>
        </w:rPr>
        <w:t xml:space="preserve">Page 40. </w:t>
      </w:r>
    </w:p>
    <w:p w:rsidR="00332CC7" w:rsidRPr="00C9277E" w:rsidRDefault="00332CC7" w:rsidP="00332CC7">
      <w:pPr>
        <w:rPr>
          <w:rFonts w:ascii="Arial" w:hAnsi="Arial" w:cs="Arial"/>
          <w:sz w:val="22"/>
        </w:rPr>
      </w:pPr>
      <w:r w:rsidRPr="00C9277E">
        <w:rPr>
          <w:rFonts w:ascii="Arial" w:hAnsi="Arial" w:cs="Arial"/>
          <w:sz w:val="22"/>
        </w:rPr>
        <w:t xml:space="preserve">The map ‘new settlement </w:t>
      </w:r>
      <w:r w:rsidR="00D313EF" w:rsidRPr="00C9277E">
        <w:rPr>
          <w:rFonts w:ascii="Arial" w:hAnsi="Arial" w:cs="Arial"/>
          <w:sz w:val="22"/>
        </w:rPr>
        <w:t>opportunity’ is</w:t>
      </w:r>
      <w:r w:rsidRPr="00C9277E">
        <w:rPr>
          <w:rFonts w:ascii="Arial" w:hAnsi="Arial" w:cs="Arial"/>
          <w:sz w:val="22"/>
        </w:rPr>
        <w:t xml:space="preserve"> misleading and should show </w:t>
      </w:r>
    </w:p>
    <w:p w:rsidR="00332CC7" w:rsidRPr="00C9277E" w:rsidRDefault="00332CC7" w:rsidP="00332CC7">
      <w:pPr>
        <w:pStyle w:val="ListParagraph"/>
        <w:numPr>
          <w:ilvl w:val="0"/>
          <w:numId w:val="2"/>
        </w:numPr>
        <w:rPr>
          <w:rFonts w:ascii="Arial" w:hAnsi="Arial" w:cs="Arial"/>
          <w:sz w:val="22"/>
        </w:rPr>
      </w:pPr>
      <w:r w:rsidRPr="00C9277E">
        <w:rPr>
          <w:rFonts w:ascii="Arial" w:hAnsi="Arial" w:cs="Arial"/>
          <w:sz w:val="22"/>
        </w:rPr>
        <w:t>Parish boundaries</w:t>
      </w:r>
    </w:p>
    <w:p w:rsidR="00332CC7" w:rsidRPr="00C9277E" w:rsidRDefault="00332CC7" w:rsidP="00332CC7">
      <w:pPr>
        <w:pStyle w:val="ListParagraph"/>
        <w:numPr>
          <w:ilvl w:val="0"/>
          <w:numId w:val="2"/>
        </w:numPr>
        <w:rPr>
          <w:rFonts w:ascii="Arial" w:hAnsi="Arial" w:cs="Arial"/>
          <w:sz w:val="22"/>
        </w:rPr>
      </w:pPr>
      <w:r w:rsidRPr="00C9277E">
        <w:rPr>
          <w:rFonts w:ascii="Arial" w:hAnsi="Arial" w:cs="Arial"/>
          <w:sz w:val="22"/>
        </w:rPr>
        <w:t>Dogmersfield and Crookham Village settlement boundaries and village names</w:t>
      </w:r>
    </w:p>
    <w:p w:rsidR="00332CC7" w:rsidRPr="00C9277E" w:rsidRDefault="00332CC7" w:rsidP="00332CC7">
      <w:pPr>
        <w:pStyle w:val="ListParagraph"/>
        <w:numPr>
          <w:ilvl w:val="0"/>
          <w:numId w:val="2"/>
        </w:numPr>
        <w:rPr>
          <w:rFonts w:ascii="Arial" w:hAnsi="Arial" w:cs="Arial"/>
          <w:sz w:val="22"/>
        </w:rPr>
      </w:pPr>
      <w:r w:rsidRPr="00C9277E">
        <w:rPr>
          <w:rFonts w:ascii="Arial" w:hAnsi="Arial" w:cs="Arial"/>
          <w:sz w:val="22"/>
        </w:rPr>
        <w:t>Winchfield settlement boundaries</w:t>
      </w:r>
    </w:p>
    <w:p w:rsidR="00332CC7" w:rsidRPr="00C9277E" w:rsidRDefault="00332CC7" w:rsidP="00332CC7">
      <w:pPr>
        <w:pStyle w:val="ListParagraph"/>
        <w:numPr>
          <w:ilvl w:val="0"/>
          <w:numId w:val="2"/>
        </w:numPr>
        <w:rPr>
          <w:rFonts w:ascii="Arial" w:hAnsi="Arial" w:cs="Arial"/>
          <w:sz w:val="22"/>
        </w:rPr>
      </w:pPr>
      <w:r w:rsidRPr="00C9277E">
        <w:rPr>
          <w:rFonts w:ascii="Arial" w:hAnsi="Arial" w:cs="Arial"/>
          <w:sz w:val="22"/>
        </w:rPr>
        <w:t>The size – to scale – of the proposed new settlement. it is impossible for anyone to understand from the current map the impact the new settlement would have on the surrounding area</w:t>
      </w:r>
    </w:p>
    <w:p w:rsidR="00332CC7" w:rsidRPr="00C9277E" w:rsidRDefault="00332CC7" w:rsidP="00332CC7">
      <w:pPr>
        <w:pStyle w:val="ListParagraph"/>
        <w:numPr>
          <w:ilvl w:val="0"/>
          <w:numId w:val="2"/>
        </w:numPr>
        <w:rPr>
          <w:rFonts w:ascii="Arial" w:hAnsi="Arial" w:cs="Arial"/>
          <w:sz w:val="22"/>
        </w:rPr>
      </w:pPr>
      <w:r w:rsidRPr="00C9277E">
        <w:rPr>
          <w:rFonts w:ascii="Arial" w:hAnsi="Arial" w:cs="Arial"/>
          <w:sz w:val="22"/>
        </w:rPr>
        <w:t xml:space="preserve">Remove from the legend  the descriptor ‘main settlements’ </w:t>
      </w:r>
    </w:p>
    <w:p w:rsidR="00332CC7" w:rsidRPr="00C9277E" w:rsidRDefault="00332CC7" w:rsidP="001508A4">
      <w:pPr>
        <w:rPr>
          <w:rFonts w:ascii="Arial" w:hAnsi="Arial" w:cs="Arial"/>
          <w:sz w:val="22"/>
        </w:rPr>
      </w:pPr>
    </w:p>
    <w:p w:rsidR="001508A4" w:rsidRPr="00C9277E" w:rsidRDefault="001508A4" w:rsidP="00C01053">
      <w:pPr>
        <w:rPr>
          <w:rFonts w:ascii="Arial" w:hAnsi="Arial" w:cs="Arial"/>
          <w:sz w:val="22"/>
        </w:rPr>
      </w:pPr>
      <w:r w:rsidRPr="00C9277E">
        <w:rPr>
          <w:rFonts w:ascii="Arial" w:hAnsi="Arial" w:cs="Arial"/>
          <w:sz w:val="22"/>
        </w:rPr>
        <w:t xml:space="preserve">Page 41. </w:t>
      </w:r>
    </w:p>
    <w:p w:rsidR="001508A4" w:rsidRPr="00C9277E" w:rsidRDefault="001508A4" w:rsidP="00C01053">
      <w:pPr>
        <w:rPr>
          <w:rFonts w:ascii="Arial" w:hAnsi="Arial" w:cs="Arial"/>
          <w:sz w:val="22"/>
        </w:rPr>
      </w:pPr>
      <w:r w:rsidRPr="00C9277E">
        <w:rPr>
          <w:rFonts w:ascii="Arial" w:hAnsi="Arial" w:cs="Arial"/>
          <w:sz w:val="22"/>
        </w:rPr>
        <w:t xml:space="preserve">The new settlement disadvantages are deceptively understated. </w:t>
      </w:r>
    </w:p>
    <w:p w:rsidR="001508A4" w:rsidRPr="00C9277E" w:rsidRDefault="001508A4" w:rsidP="00C01053">
      <w:pPr>
        <w:rPr>
          <w:rFonts w:ascii="Arial" w:hAnsi="Arial" w:cs="Arial"/>
          <w:sz w:val="22"/>
        </w:rPr>
      </w:pPr>
    </w:p>
    <w:p w:rsidR="00BA553F" w:rsidRPr="00C9277E" w:rsidRDefault="00BA553F" w:rsidP="00C01053">
      <w:pPr>
        <w:rPr>
          <w:rFonts w:ascii="Arial" w:hAnsi="Arial" w:cs="Arial"/>
          <w:sz w:val="22"/>
        </w:rPr>
      </w:pPr>
      <w:r w:rsidRPr="00C9277E">
        <w:rPr>
          <w:rFonts w:ascii="Arial" w:hAnsi="Arial" w:cs="Arial"/>
          <w:sz w:val="22"/>
        </w:rPr>
        <w:t>Page 4</w:t>
      </w:r>
      <w:r w:rsidR="00332CC7" w:rsidRPr="00C9277E">
        <w:rPr>
          <w:rFonts w:ascii="Arial" w:hAnsi="Arial" w:cs="Arial"/>
          <w:sz w:val="22"/>
        </w:rPr>
        <w:t>2</w:t>
      </w:r>
      <w:r w:rsidRPr="00C9277E">
        <w:rPr>
          <w:rFonts w:ascii="Arial" w:hAnsi="Arial" w:cs="Arial"/>
          <w:sz w:val="22"/>
        </w:rPr>
        <w:t xml:space="preserve">. </w:t>
      </w:r>
    </w:p>
    <w:p w:rsidR="00BA553F" w:rsidRPr="00C9277E" w:rsidRDefault="00BA553F" w:rsidP="00BA553F">
      <w:pPr>
        <w:rPr>
          <w:rFonts w:ascii="Arial" w:hAnsi="Arial" w:cs="Arial"/>
          <w:sz w:val="22"/>
        </w:rPr>
      </w:pPr>
      <w:r w:rsidRPr="00C9277E">
        <w:rPr>
          <w:rFonts w:ascii="Arial" w:hAnsi="Arial" w:cs="Arial"/>
          <w:sz w:val="22"/>
        </w:rPr>
        <w:t xml:space="preserve">The map shows SHLAA sites in Hook which are beyond the Winchfield Parish boundary, this is misleading </w:t>
      </w:r>
    </w:p>
    <w:p w:rsidR="00BA553F" w:rsidRPr="00C9277E" w:rsidRDefault="00BA553F" w:rsidP="00C01053">
      <w:pPr>
        <w:rPr>
          <w:rFonts w:ascii="Arial" w:hAnsi="Arial" w:cs="Arial"/>
          <w:sz w:val="22"/>
        </w:rPr>
      </w:pPr>
    </w:p>
    <w:p w:rsidR="004536D1" w:rsidRPr="00C9277E" w:rsidRDefault="001508A4" w:rsidP="00C01053">
      <w:pPr>
        <w:rPr>
          <w:rFonts w:ascii="Arial" w:hAnsi="Arial" w:cs="Arial"/>
          <w:sz w:val="22"/>
        </w:rPr>
      </w:pPr>
      <w:r w:rsidRPr="00C9277E">
        <w:rPr>
          <w:rFonts w:ascii="Arial" w:hAnsi="Arial" w:cs="Arial"/>
          <w:sz w:val="22"/>
        </w:rPr>
        <w:t>Pages 43 and 44</w:t>
      </w:r>
    </w:p>
    <w:p w:rsidR="007A7D0C" w:rsidRPr="00C9277E" w:rsidRDefault="00FC0CBA" w:rsidP="00C01053">
      <w:pPr>
        <w:rPr>
          <w:rFonts w:ascii="Arial" w:hAnsi="Arial" w:cs="Arial"/>
          <w:sz w:val="22"/>
        </w:rPr>
      </w:pPr>
      <w:r w:rsidRPr="00C9277E">
        <w:rPr>
          <w:rFonts w:ascii="Arial" w:hAnsi="Arial" w:cs="Arial"/>
          <w:sz w:val="22"/>
        </w:rPr>
        <w:t xml:space="preserve">The use of ‘approaches </w:t>
      </w:r>
      <w:r w:rsidR="007E230C" w:rsidRPr="00C9277E">
        <w:rPr>
          <w:rFonts w:ascii="Arial" w:hAnsi="Arial" w:cs="Arial"/>
          <w:sz w:val="22"/>
        </w:rPr>
        <w:t>‘and</w:t>
      </w:r>
      <w:r w:rsidRPr="00C9277E">
        <w:rPr>
          <w:rFonts w:ascii="Arial" w:hAnsi="Arial" w:cs="Arial"/>
          <w:sz w:val="22"/>
        </w:rPr>
        <w:t xml:space="preserve"> ‘options’ is confusing and misleading.</w:t>
      </w:r>
      <w:r w:rsidR="00BF2DB8" w:rsidRPr="00C9277E">
        <w:rPr>
          <w:rFonts w:ascii="Arial" w:hAnsi="Arial" w:cs="Arial"/>
          <w:sz w:val="22"/>
        </w:rPr>
        <w:t xml:space="preserve"> </w:t>
      </w:r>
      <w:r w:rsidR="00F75CDE" w:rsidRPr="00C9277E">
        <w:rPr>
          <w:rFonts w:ascii="Arial" w:hAnsi="Arial" w:cs="Arial"/>
          <w:sz w:val="22"/>
        </w:rPr>
        <w:t xml:space="preserve">After reading all the detailed information provided </w:t>
      </w:r>
      <w:r w:rsidR="007A7D0C" w:rsidRPr="00C9277E">
        <w:rPr>
          <w:rFonts w:ascii="Arial" w:hAnsi="Arial" w:cs="Arial"/>
          <w:sz w:val="22"/>
        </w:rPr>
        <w:t xml:space="preserve">each </w:t>
      </w:r>
      <w:r w:rsidR="00F75CDE" w:rsidRPr="00C9277E">
        <w:rPr>
          <w:rFonts w:ascii="Arial" w:hAnsi="Arial" w:cs="Arial"/>
          <w:sz w:val="22"/>
        </w:rPr>
        <w:t xml:space="preserve">option </w:t>
      </w:r>
      <w:r w:rsidR="007E230C" w:rsidRPr="00C9277E">
        <w:rPr>
          <w:rFonts w:ascii="Arial" w:hAnsi="Arial" w:cs="Arial"/>
          <w:sz w:val="22"/>
        </w:rPr>
        <w:t>should</w:t>
      </w:r>
      <w:r w:rsidR="00F75CDE" w:rsidRPr="00C9277E">
        <w:rPr>
          <w:rFonts w:ascii="Arial" w:hAnsi="Arial" w:cs="Arial"/>
          <w:sz w:val="22"/>
        </w:rPr>
        <w:t xml:space="preserve"> provide residents with a succinct overview of how many </w:t>
      </w:r>
      <w:r w:rsidR="007E230C" w:rsidRPr="00C9277E">
        <w:rPr>
          <w:rFonts w:ascii="Arial" w:hAnsi="Arial" w:cs="Arial"/>
          <w:sz w:val="22"/>
        </w:rPr>
        <w:t>houses</w:t>
      </w:r>
      <w:r w:rsidR="00F75CDE" w:rsidRPr="00C9277E">
        <w:rPr>
          <w:rFonts w:ascii="Arial" w:hAnsi="Arial" w:cs="Arial"/>
          <w:sz w:val="22"/>
        </w:rPr>
        <w:t xml:space="preserve"> could </w:t>
      </w:r>
      <w:r w:rsidR="007A7D0C" w:rsidRPr="00C9277E">
        <w:rPr>
          <w:rFonts w:ascii="Arial" w:hAnsi="Arial" w:cs="Arial"/>
          <w:sz w:val="22"/>
        </w:rPr>
        <w:t xml:space="preserve">be expected as a result. </w:t>
      </w:r>
    </w:p>
    <w:p w:rsidR="00F75CDE" w:rsidRPr="00C9277E" w:rsidRDefault="00F75CDE" w:rsidP="00C01053">
      <w:pPr>
        <w:rPr>
          <w:rFonts w:ascii="Arial" w:hAnsi="Arial" w:cs="Arial"/>
          <w:sz w:val="22"/>
        </w:rPr>
      </w:pPr>
      <w:r w:rsidRPr="00C9277E">
        <w:rPr>
          <w:rFonts w:ascii="Arial" w:hAnsi="Arial" w:cs="Arial"/>
          <w:sz w:val="22"/>
        </w:rPr>
        <w:t xml:space="preserve">A clearly defined objective of the overall need would be very helpful before they answer this important question which WILL affect everyone in Hart. </w:t>
      </w:r>
    </w:p>
    <w:p w:rsidR="001508A4" w:rsidRPr="00C9277E" w:rsidRDefault="001508A4" w:rsidP="001508A4">
      <w:pPr>
        <w:rPr>
          <w:rFonts w:ascii="Arial" w:hAnsi="Arial" w:cs="Arial"/>
          <w:sz w:val="22"/>
        </w:rPr>
      </w:pPr>
      <w:r w:rsidRPr="00C9277E">
        <w:rPr>
          <w:rFonts w:ascii="Arial" w:hAnsi="Arial" w:cs="Arial"/>
          <w:sz w:val="22"/>
        </w:rPr>
        <w:t xml:space="preserve">Since you have again stated (as you did in 2014) that only a combination of options will achieve a workable plan for the next 17 years then why ask Q4 and offer the three ‘approaches’ as individual choices? </w:t>
      </w:r>
    </w:p>
    <w:p w:rsidR="001508A4" w:rsidRPr="00C9277E" w:rsidRDefault="001508A4" w:rsidP="001508A4">
      <w:pPr>
        <w:rPr>
          <w:rFonts w:ascii="Arial" w:hAnsi="Arial" w:cs="Arial"/>
          <w:sz w:val="22"/>
        </w:rPr>
      </w:pPr>
      <w:r w:rsidRPr="00C9277E">
        <w:rPr>
          <w:rFonts w:ascii="Arial" w:hAnsi="Arial" w:cs="Arial"/>
          <w:sz w:val="22"/>
        </w:rPr>
        <w:t>Focus growth on a new settlement at Winchfield is not an</w:t>
      </w:r>
      <w:r w:rsidR="00E41A0D" w:rsidRPr="00C9277E">
        <w:rPr>
          <w:rFonts w:ascii="Arial" w:hAnsi="Arial" w:cs="Arial"/>
          <w:sz w:val="22"/>
        </w:rPr>
        <w:t xml:space="preserve"> ‘approach’ </w:t>
      </w:r>
      <w:r w:rsidRPr="00C9277E">
        <w:rPr>
          <w:rFonts w:ascii="Arial" w:hAnsi="Arial" w:cs="Arial"/>
          <w:sz w:val="22"/>
        </w:rPr>
        <w:t xml:space="preserve">that can be offered on its own as it cannot provide any of the housing need for at least 10 years. It does not meet the criteria described on page 17 to be considered developable or deliverable. </w:t>
      </w:r>
    </w:p>
    <w:p w:rsidR="001508A4" w:rsidRPr="00C9277E" w:rsidRDefault="001508A4" w:rsidP="001508A4">
      <w:pPr>
        <w:rPr>
          <w:rFonts w:ascii="Arial" w:hAnsi="Arial" w:cs="Arial"/>
          <w:sz w:val="22"/>
        </w:rPr>
      </w:pPr>
      <w:r w:rsidRPr="00C9277E">
        <w:rPr>
          <w:rFonts w:ascii="Arial" w:hAnsi="Arial" w:cs="Arial"/>
          <w:sz w:val="22"/>
        </w:rPr>
        <w:lastRenderedPageBreak/>
        <w:t xml:space="preserve">The whole issue of Rushmoor and Surrey Heath overspills has such an important impact on the local plan (essentially whether or not a new town should be built) that the council should </w:t>
      </w:r>
    </w:p>
    <w:p w:rsidR="001508A4" w:rsidRPr="00C9277E" w:rsidRDefault="001508A4" w:rsidP="001508A4">
      <w:pPr>
        <w:rPr>
          <w:rFonts w:ascii="Arial" w:hAnsi="Arial" w:cs="Arial"/>
          <w:sz w:val="22"/>
        </w:rPr>
      </w:pPr>
      <w:r w:rsidRPr="00C9277E">
        <w:rPr>
          <w:rFonts w:ascii="Arial" w:hAnsi="Arial" w:cs="Arial"/>
          <w:sz w:val="22"/>
        </w:rPr>
        <w:t xml:space="preserve">delay the consultation until both Rushmoor's and Surrey Heath's requirements are known and validated and the SHMA updated.  These numbers are expected to be available early in 2016 so this might result in a delay of perhaps two months. </w:t>
      </w:r>
    </w:p>
    <w:p w:rsidR="001508A4" w:rsidRPr="00C9277E" w:rsidRDefault="001508A4" w:rsidP="007A7D0C">
      <w:pPr>
        <w:rPr>
          <w:rFonts w:ascii="Arial" w:hAnsi="Arial" w:cs="Arial"/>
          <w:sz w:val="22"/>
        </w:rPr>
      </w:pPr>
    </w:p>
    <w:p w:rsidR="00BF2DB8" w:rsidRDefault="001508A4" w:rsidP="00C01053">
      <w:pPr>
        <w:rPr>
          <w:rFonts w:ascii="Arial" w:hAnsi="Arial" w:cs="Arial"/>
          <w:sz w:val="22"/>
        </w:rPr>
      </w:pPr>
      <w:r w:rsidRPr="00C9277E">
        <w:rPr>
          <w:rFonts w:ascii="Arial" w:hAnsi="Arial" w:cs="Arial"/>
          <w:sz w:val="22"/>
        </w:rPr>
        <w:t>Q5</w:t>
      </w:r>
      <w:r w:rsidR="00BF2DB8" w:rsidRPr="00C9277E">
        <w:rPr>
          <w:rFonts w:ascii="Arial" w:hAnsi="Arial" w:cs="Arial"/>
          <w:sz w:val="22"/>
        </w:rPr>
        <w:t xml:space="preserve"> ask</w:t>
      </w:r>
      <w:r w:rsidR="008B3B2C">
        <w:rPr>
          <w:rFonts w:ascii="Arial" w:hAnsi="Arial" w:cs="Arial"/>
          <w:sz w:val="22"/>
        </w:rPr>
        <w:t>s</w:t>
      </w:r>
      <w:r w:rsidR="00BF2DB8" w:rsidRPr="00C9277E">
        <w:rPr>
          <w:rFonts w:ascii="Arial" w:hAnsi="Arial" w:cs="Arial"/>
          <w:sz w:val="22"/>
        </w:rPr>
        <w:t xml:space="preserve"> for ranked choices on </w:t>
      </w:r>
      <w:r w:rsidR="00E41A0D" w:rsidRPr="00C9277E">
        <w:rPr>
          <w:rFonts w:ascii="Arial" w:hAnsi="Arial" w:cs="Arial"/>
          <w:sz w:val="22"/>
        </w:rPr>
        <w:t xml:space="preserve">four </w:t>
      </w:r>
      <w:r w:rsidR="00BF2DB8" w:rsidRPr="00C9277E">
        <w:rPr>
          <w:rFonts w:ascii="Arial" w:hAnsi="Arial" w:cs="Arial"/>
          <w:sz w:val="22"/>
        </w:rPr>
        <w:t xml:space="preserve">‘options’ but the questions are </w:t>
      </w:r>
      <w:r w:rsidR="007E230C" w:rsidRPr="00C9277E">
        <w:rPr>
          <w:rFonts w:ascii="Arial" w:hAnsi="Arial" w:cs="Arial"/>
          <w:sz w:val="22"/>
        </w:rPr>
        <w:t>blatantly</w:t>
      </w:r>
      <w:r w:rsidR="00F75CDE" w:rsidRPr="00C9277E">
        <w:rPr>
          <w:rFonts w:ascii="Arial" w:hAnsi="Arial" w:cs="Arial"/>
          <w:sz w:val="22"/>
        </w:rPr>
        <w:t xml:space="preserve"> </w:t>
      </w:r>
      <w:r w:rsidR="007E230C" w:rsidRPr="00C9277E">
        <w:rPr>
          <w:rFonts w:ascii="Arial" w:hAnsi="Arial" w:cs="Arial"/>
          <w:sz w:val="22"/>
        </w:rPr>
        <w:t>biased</w:t>
      </w:r>
      <w:r w:rsidR="00BF2DB8" w:rsidRPr="00C9277E">
        <w:rPr>
          <w:rFonts w:ascii="Arial" w:hAnsi="Arial" w:cs="Arial"/>
          <w:sz w:val="22"/>
        </w:rPr>
        <w:t xml:space="preserve"> so that however the scoring is done </w:t>
      </w:r>
      <w:r w:rsidRPr="00C9277E">
        <w:rPr>
          <w:rFonts w:ascii="Arial" w:hAnsi="Arial" w:cs="Arial"/>
          <w:sz w:val="22"/>
        </w:rPr>
        <w:t xml:space="preserve">the ‘new settlement opportunity at </w:t>
      </w:r>
      <w:r w:rsidR="00BF2DB8" w:rsidRPr="00C9277E">
        <w:rPr>
          <w:rFonts w:ascii="Arial" w:hAnsi="Arial" w:cs="Arial"/>
          <w:sz w:val="22"/>
        </w:rPr>
        <w:t>Winchfield</w:t>
      </w:r>
      <w:r w:rsidRPr="00C9277E">
        <w:rPr>
          <w:rFonts w:ascii="Arial" w:hAnsi="Arial" w:cs="Arial"/>
          <w:sz w:val="22"/>
        </w:rPr>
        <w:t>’</w:t>
      </w:r>
      <w:r w:rsidR="00BF2DB8" w:rsidRPr="00C9277E">
        <w:rPr>
          <w:rFonts w:ascii="Arial" w:hAnsi="Arial" w:cs="Arial"/>
          <w:sz w:val="22"/>
        </w:rPr>
        <w:t xml:space="preserve"> will have more than 50% of the awarded marks. </w:t>
      </w:r>
    </w:p>
    <w:p w:rsidR="008B3B2C" w:rsidRPr="00C9277E" w:rsidRDefault="008B3B2C" w:rsidP="00C01053">
      <w:pPr>
        <w:rPr>
          <w:rFonts w:ascii="Arial" w:hAnsi="Arial" w:cs="Arial"/>
          <w:sz w:val="22"/>
        </w:rPr>
      </w:pPr>
    </w:p>
    <w:p w:rsidR="00BF2DB8" w:rsidRPr="00C9277E" w:rsidRDefault="001508A4" w:rsidP="00C01053">
      <w:pPr>
        <w:rPr>
          <w:rFonts w:ascii="Arial" w:hAnsi="Arial" w:cs="Arial"/>
          <w:sz w:val="22"/>
        </w:rPr>
      </w:pPr>
      <w:r w:rsidRPr="00C9277E">
        <w:rPr>
          <w:rFonts w:ascii="Arial" w:hAnsi="Arial" w:cs="Arial"/>
          <w:sz w:val="22"/>
        </w:rPr>
        <w:t>If you combine new settlement at Winchfield with expansion on the edge of settlements then the new settlement will not need to be 4000+ houses and therefore will not generate the necessary infrastructure contributions.</w:t>
      </w:r>
    </w:p>
    <w:p w:rsidR="00730E1F" w:rsidRPr="00C9277E" w:rsidRDefault="00730E1F" w:rsidP="00730E1F">
      <w:pPr>
        <w:rPr>
          <w:rFonts w:ascii="Arial" w:hAnsi="Arial" w:cs="Arial"/>
          <w:sz w:val="22"/>
        </w:rPr>
      </w:pPr>
    </w:p>
    <w:p w:rsidR="007A7D0C" w:rsidRPr="008B3B2C" w:rsidRDefault="007A7D0C" w:rsidP="007A7D0C">
      <w:pPr>
        <w:rPr>
          <w:rFonts w:ascii="Arial" w:hAnsi="Arial" w:cs="Arial"/>
          <w:b/>
          <w:sz w:val="22"/>
        </w:rPr>
      </w:pPr>
      <w:r w:rsidRPr="008B3B2C">
        <w:rPr>
          <w:rFonts w:ascii="Arial" w:hAnsi="Arial" w:cs="Arial"/>
          <w:b/>
          <w:sz w:val="22"/>
        </w:rPr>
        <w:t>Our suggestion</w:t>
      </w:r>
      <w:r w:rsidR="001508A4" w:rsidRPr="008B3B2C">
        <w:rPr>
          <w:rFonts w:ascii="Arial" w:hAnsi="Arial" w:cs="Arial"/>
          <w:b/>
          <w:sz w:val="22"/>
        </w:rPr>
        <w:t>s</w:t>
      </w:r>
      <w:r w:rsidRPr="008B3B2C">
        <w:rPr>
          <w:rFonts w:ascii="Arial" w:hAnsi="Arial" w:cs="Arial"/>
          <w:b/>
          <w:sz w:val="22"/>
        </w:rPr>
        <w:t xml:space="preserve"> for clearly defined questions which might result in usable responses on the options paper would be:</w:t>
      </w:r>
    </w:p>
    <w:p w:rsidR="001508A4" w:rsidRPr="00C9277E" w:rsidRDefault="001508A4" w:rsidP="007A7D0C">
      <w:pPr>
        <w:rPr>
          <w:rFonts w:ascii="Arial" w:hAnsi="Arial" w:cs="Arial"/>
          <w:sz w:val="22"/>
        </w:rPr>
      </w:pPr>
    </w:p>
    <w:p w:rsidR="007A7D0C" w:rsidRDefault="007A7D0C" w:rsidP="007A7D0C">
      <w:pPr>
        <w:rPr>
          <w:rFonts w:ascii="Arial" w:hAnsi="Arial" w:cs="Arial"/>
          <w:sz w:val="22"/>
        </w:rPr>
      </w:pPr>
      <w:r w:rsidRPr="00C9277E">
        <w:rPr>
          <w:rFonts w:ascii="Arial" w:hAnsi="Arial" w:cs="Arial"/>
          <w:sz w:val="22"/>
        </w:rPr>
        <w:t xml:space="preserve">After we have accounted for development on ‘brownfield land’ and on land not affected by the Special Protection Area exclusion zone, which of the options outlined in this document do you support to deliver Harts need for a further </w:t>
      </w:r>
      <w:r w:rsidR="001508A4" w:rsidRPr="00C9277E">
        <w:rPr>
          <w:rFonts w:ascii="Arial" w:hAnsi="Arial" w:cs="Arial"/>
          <w:sz w:val="22"/>
        </w:rPr>
        <w:t xml:space="preserve">(insert correct final number) </w:t>
      </w:r>
      <w:r w:rsidRPr="00C9277E">
        <w:rPr>
          <w:rFonts w:ascii="Arial" w:hAnsi="Arial" w:cs="Arial"/>
          <w:sz w:val="22"/>
        </w:rPr>
        <w:t xml:space="preserve">new homes by 2032? Please rank in order, 1,2,3,4 where 1 is the most preferred. </w:t>
      </w:r>
    </w:p>
    <w:p w:rsidR="00EB3E40" w:rsidRPr="00C9277E" w:rsidRDefault="00EB3E40" w:rsidP="007A7D0C">
      <w:pPr>
        <w:rPr>
          <w:rFonts w:ascii="Arial" w:hAnsi="Arial" w:cs="Arial"/>
          <w:sz w:val="22"/>
        </w:rPr>
      </w:pPr>
    </w:p>
    <w:p w:rsidR="007A7D0C" w:rsidRPr="00C9277E" w:rsidRDefault="007A7D0C" w:rsidP="007A7D0C">
      <w:pPr>
        <w:rPr>
          <w:rFonts w:ascii="Arial" w:hAnsi="Arial" w:cs="Arial"/>
          <w:sz w:val="22"/>
        </w:rPr>
      </w:pPr>
      <w:proofErr w:type="gramStart"/>
      <w:r w:rsidRPr="00C9277E">
        <w:rPr>
          <w:rFonts w:ascii="Arial" w:hAnsi="Arial" w:cs="Arial"/>
          <w:sz w:val="22"/>
        </w:rPr>
        <w:t>Option 1.</w:t>
      </w:r>
      <w:proofErr w:type="gramEnd"/>
      <w:r w:rsidRPr="00C9277E">
        <w:rPr>
          <w:rFonts w:ascii="Arial" w:hAnsi="Arial" w:cs="Arial"/>
          <w:sz w:val="22"/>
        </w:rPr>
        <w:t xml:space="preserve"> Urban and greenfield development distributed throughout the district’s towns and villages, including the smallest villages and hamlets if suitable sites are submitted. </w:t>
      </w:r>
    </w:p>
    <w:p w:rsidR="007A7D0C" w:rsidRPr="00C9277E" w:rsidRDefault="007A7D0C" w:rsidP="007A7D0C">
      <w:pPr>
        <w:rPr>
          <w:rFonts w:ascii="Arial" w:hAnsi="Arial" w:cs="Arial"/>
          <w:sz w:val="22"/>
        </w:rPr>
      </w:pPr>
    </w:p>
    <w:p w:rsidR="007A7D0C" w:rsidRPr="00C9277E" w:rsidRDefault="007A7D0C" w:rsidP="007A7D0C">
      <w:pPr>
        <w:rPr>
          <w:rFonts w:ascii="Arial" w:hAnsi="Arial" w:cs="Arial"/>
          <w:sz w:val="22"/>
        </w:rPr>
      </w:pPr>
      <w:r w:rsidRPr="00C9277E">
        <w:rPr>
          <w:rFonts w:ascii="Arial" w:hAnsi="Arial" w:cs="Arial"/>
          <w:sz w:val="22"/>
        </w:rPr>
        <w:t>Option 2. Strategic greenfield expansion on the edge of one or more of the main settlements (options are Pale Lane, Elvetham Heath….. houses, land at Grove Farm, Hitches Lane, Crookham Village  ……houses, Land to the west of Hook</w:t>
      </w:r>
      <w:r w:rsidR="001508A4" w:rsidRPr="00C9277E">
        <w:rPr>
          <w:rFonts w:ascii="Arial" w:hAnsi="Arial" w:cs="Arial"/>
          <w:sz w:val="22"/>
        </w:rPr>
        <w:t>…..houses (insert achievable numbers)</w:t>
      </w:r>
    </w:p>
    <w:p w:rsidR="007A7D0C" w:rsidRPr="00C9277E" w:rsidRDefault="007A7D0C" w:rsidP="007A7D0C">
      <w:pPr>
        <w:rPr>
          <w:rFonts w:ascii="Arial" w:hAnsi="Arial" w:cs="Arial"/>
          <w:sz w:val="22"/>
        </w:rPr>
      </w:pPr>
    </w:p>
    <w:p w:rsidR="007A7D0C" w:rsidRPr="00C9277E" w:rsidRDefault="007A7D0C" w:rsidP="007A7D0C">
      <w:pPr>
        <w:rPr>
          <w:rFonts w:ascii="Arial" w:hAnsi="Arial" w:cs="Arial"/>
          <w:sz w:val="22"/>
        </w:rPr>
      </w:pPr>
      <w:r w:rsidRPr="00C9277E">
        <w:rPr>
          <w:rFonts w:ascii="Arial" w:hAnsi="Arial" w:cs="Arial"/>
          <w:sz w:val="22"/>
        </w:rPr>
        <w:t>Option 3. A combination of options 1&amp;2</w:t>
      </w:r>
    </w:p>
    <w:p w:rsidR="007A7D0C" w:rsidRPr="00C9277E" w:rsidRDefault="007A7D0C" w:rsidP="007A7D0C">
      <w:pPr>
        <w:rPr>
          <w:rFonts w:ascii="Arial" w:hAnsi="Arial" w:cs="Arial"/>
          <w:sz w:val="22"/>
        </w:rPr>
      </w:pPr>
    </w:p>
    <w:p w:rsidR="007A7D0C" w:rsidRPr="00C9277E" w:rsidRDefault="007A7D0C" w:rsidP="007A7D0C">
      <w:pPr>
        <w:rPr>
          <w:rFonts w:ascii="Arial" w:hAnsi="Arial" w:cs="Arial"/>
          <w:sz w:val="22"/>
        </w:rPr>
      </w:pPr>
      <w:r w:rsidRPr="00C9277E">
        <w:rPr>
          <w:rFonts w:ascii="Arial" w:hAnsi="Arial" w:cs="Arial"/>
          <w:sz w:val="22"/>
        </w:rPr>
        <w:t xml:space="preserve">Option 4. In the event that Hart must meet some of the unmet needs from Rushmoor and Surrey Heath in the later part of the plan (2025 – 2032) a combination of options 1&amp;2 and a new settlement.  </w:t>
      </w:r>
    </w:p>
    <w:p w:rsidR="007A7D0C" w:rsidRPr="00C9277E" w:rsidRDefault="007A7D0C" w:rsidP="007A7D0C">
      <w:pPr>
        <w:rPr>
          <w:rFonts w:ascii="Arial" w:hAnsi="Arial" w:cs="Arial"/>
          <w:sz w:val="22"/>
        </w:rPr>
      </w:pPr>
    </w:p>
    <w:p w:rsidR="00730E1F" w:rsidRDefault="00730E1F" w:rsidP="007D41F6">
      <w:pPr>
        <w:rPr>
          <w:rFonts w:ascii="Arial" w:hAnsi="Arial" w:cs="Arial"/>
          <w:b/>
          <w:sz w:val="22"/>
        </w:rPr>
      </w:pPr>
      <w:r w:rsidRPr="00C9277E">
        <w:rPr>
          <w:rFonts w:ascii="Arial" w:hAnsi="Arial" w:cs="Arial"/>
          <w:b/>
          <w:sz w:val="22"/>
        </w:rPr>
        <w:t>The SHLAA Site Shortlisting Outcomes Paper</w:t>
      </w:r>
    </w:p>
    <w:p w:rsidR="00C9277E" w:rsidRPr="00C9277E" w:rsidRDefault="00C9277E" w:rsidP="007D41F6">
      <w:pPr>
        <w:rPr>
          <w:rFonts w:ascii="Arial" w:hAnsi="Arial" w:cs="Arial"/>
          <w:b/>
          <w:sz w:val="22"/>
        </w:rPr>
      </w:pPr>
    </w:p>
    <w:p w:rsidR="00730E1F" w:rsidRDefault="00730E1F" w:rsidP="007D41F6">
      <w:pPr>
        <w:rPr>
          <w:rFonts w:ascii="Arial" w:hAnsi="Arial" w:cs="Arial"/>
          <w:sz w:val="22"/>
        </w:rPr>
      </w:pPr>
      <w:r w:rsidRPr="00C9277E">
        <w:rPr>
          <w:rFonts w:ascii="Arial" w:hAnsi="Arial" w:cs="Arial"/>
          <w:sz w:val="22"/>
        </w:rPr>
        <w:t xml:space="preserve">This document has little meaning without showing how many houses might be realised at each </w:t>
      </w:r>
      <w:r w:rsidR="00792F76" w:rsidRPr="00C9277E">
        <w:rPr>
          <w:rFonts w:ascii="Arial" w:hAnsi="Arial" w:cs="Arial"/>
          <w:sz w:val="22"/>
        </w:rPr>
        <w:t>site;</w:t>
      </w:r>
      <w:r w:rsidR="00D313EF" w:rsidRPr="00C9277E">
        <w:rPr>
          <w:rFonts w:ascii="Arial" w:hAnsi="Arial" w:cs="Arial"/>
          <w:sz w:val="22"/>
        </w:rPr>
        <w:t xml:space="preserve"> please show the ‘indicative housing capacity’ as in the options paper tables. </w:t>
      </w:r>
      <w:r w:rsidRPr="00C9277E">
        <w:rPr>
          <w:rFonts w:ascii="Arial" w:hAnsi="Arial" w:cs="Arial"/>
          <w:sz w:val="22"/>
        </w:rPr>
        <w:t xml:space="preserve">You cannot ask residents to allocate sites when you have not provided sufficient detail for them to make an informed decision. </w:t>
      </w:r>
    </w:p>
    <w:p w:rsidR="008B3B2C" w:rsidRPr="00C9277E" w:rsidRDefault="008B3B2C" w:rsidP="007D41F6">
      <w:pPr>
        <w:rPr>
          <w:rFonts w:ascii="Arial" w:hAnsi="Arial" w:cs="Arial"/>
          <w:sz w:val="22"/>
        </w:rPr>
      </w:pPr>
    </w:p>
    <w:p w:rsidR="00730E1F" w:rsidRPr="00C9277E" w:rsidRDefault="00730E1F" w:rsidP="007D41F6">
      <w:pPr>
        <w:rPr>
          <w:rFonts w:ascii="Arial" w:hAnsi="Arial" w:cs="Arial"/>
          <w:sz w:val="22"/>
        </w:rPr>
      </w:pPr>
      <w:r w:rsidRPr="00C9277E">
        <w:rPr>
          <w:rFonts w:ascii="Arial" w:hAnsi="Arial" w:cs="Arial"/>
          <w:sz w:val="22"/>
        </w:rPr>
        <w:t>Also, you have not made clear whether completion of this section is obligatory or optional</w:t>
      </w:r>
      <w:r w:rsidR="001508A4" w:rsidRPr="00C9277E">
        <w:rPr>
          <w:rFonts w:ascii="Arial" w:hAnsi="Arial" w:cs="Arial"/>
          <w:sz w:val="22"/>
        </w:rPr>
        <w:t xml:space="preserve">, </w:t>
      </w:r>
      <w:r w:rsidR="00D313EF" w:rsidRPr="00C9277E">
        <w:rPr>
          <w:rFonts w:ascii="Arial" w:hAnsi="Arial" w:cs="Arial"/>
          <w:sz w:val="22"/>
        </w:rPr>
        <w:t xml:space="preserve">if they fail to complete this </w:t>
      </w:r>
      <w:r w:rsidR="001508A4" w:rsidRPr="00C9277E">
        <w:rPr>
          <w:rFonts w:ascii="Arial" w:hAnsi="Arial" w:cs="Arial"/>
          <w:sz w:val="22"/>
        </w:rPr>
        <w:t xml:space="preserve">will </w:t>
      </w:r>
      <w:r w:rsidRPr="00C9277E">
        <w:rPr>
          <w:rFonts w:ascii="Arial" w:hAnsi="Arial" w:cs="Arial"/>
          <w:sz w:val="22"/>
        </w:rPr>
        <w:t>their answers to the ‘options’ paper be discounted</w:t>
      </w:r>
      <w:r w:rsidR="00D313EF" w:rsidRPr="00C9277E">
        <w:rPr>
          <w:rFonts w:ascii="Arial" w:hAnsi="Arial" w:cs="Arial"/>
          <w:sz w:val="22"/>
        </w:rPr>
        <w:t>?</w:t>
      </w:r>
      <w:r w:rsidRPr="00C9277E">
        <w:rPr>
          <w:rFonts w:ascii="Arial" w:hAnsi="Arial" w:cs="Arial"/>
          <w:sz w:val="22"/>
        </w:rPr>
        <w:t xml:space="preserve"> </w:t>
      </w:r>
    </w:p>
    <w:p w:rsidR="00E41A0D" w:rsidRPr="00C9277E" w:rsidRDefault="00E41A0D" w:rsidP="007D41F6">
      <w:pPr>
        <w:rPr>
          <w:rFonts w:ascii="Arial" w:hAnsi="Arial" w:cs="Arial"/>
          <w:sz w:val="22"/>
        </w:rPr>
      </w:pPr>
    </w:p>
    <w:p w:rsidR="008174E0" w:rsidRDefault="008174E0" w:rsidP="00E41A0D">
      <w:pPr>
        <w:rPr>
          <w:rFonts w:ascii="Arial" w:hAnsi="Arial" w:cs="Arial"/>
          <w:b/>
          <w:sz w:val="22"/>
        </w:rPr>
      </w:pPr>
    </w:p>
    <w:p w:rsidR="00E41A0D" w:rsidRDefault="00E41A0D" w:rsidP="00E41A0D">
      <w:pPr>
        <w:rPr>
          <w:rFonts w:ascii="Arial" w:hAnsi="Arial" w:cs="Arial"/>
          <w:b/>
          <w:sz w:val="22"/>
        </w:rPr>
      </w:pPr>
      <w:r w:rsidRPr="00C9277E">
        <w:rPr>
          <w:rFonts w:ascii="Arial" w:hAnsi="Arial" w:cs="Arial"/>
          <w:b/>
          <w:sz w:val="22"/>
        </w:rPr>
        <w:t xml:space="preserve">An additional issue </w:t>
      </w:r>
    </w:p>
    <w:p w:rsidR="00C9277E" w:rsidRPr="00C9277E" w:rsidRDefault="00C9277E" w:rsidP="00E41A0D">
      <w:pPr>
        <w:rPr>
          <w:rFonts w:ascii="Arial" w:hAnsi="Arial" w:cs="Arial"/>
          <w:b/>
          <w:sz w:val="22"/>
        </w:rPr>
      </w:pPr>
    </w:p>
    <w:p w:rsidR="00E41A0D" w:rsidRPr="00C9277E" w:rsidRDefault="00E41A0D" w:rsidP="007D41F6">
      <w:pPr>
        <w:rPr>
          <w:rFonts w:ascii="Arial" w:hAnsi="Arial" w:cs="Arial"/>
          <w:sz w:val="22"/>
        </w:rPr>
      </w:pPr>
      <w:r w:rsidRPr="00C9277E">
        <w:rPr>
          <w:rFonts w:ascii="Arial" w:hAnsi="Arial" w:cs="Arial"/>
          <w:sz w:val="22"/>
        </w:rPr>
        <w:t>We have requested that HDC support the assessment process to identify and adopt some new SINCs in Winchfield. Hart has refused to do this until the Local Plan is in place. There are some areas within SHLAA sites which would be wantonly de</w:t>
      </w:r>
      <w:r w:rsidR="008B3B2C">
        <w:rPr>
          <w:rFonts w:ascii="Arial" w:hAnsi="Arial" w:cs="Arial"/>
          <w:sz w:val="22"/>
        </w:rPr>
        <w:t xml:space="preserve">stroyed if </w:t>
      </w:r>
      <w:r w:rsidRPr="00C9277E">
        <w:rPr>
          <w:rFonts w:ascii="Arial" w:hAnsi="Arial" w:cs="Arial"/>
          <w:sz w:val="22"/>
        </w:rPr>
        <w:t>extensive development is approved without consultation with HCC and HBIC.  We ask HDC to reconsider their answer, particularly with reference to areas within SHLAA 136, 184 and 186</w:t>
      </w:r>
      <w:r w:rsidR="002E614F">
        <w:rPr>
          <w:rFonts w:ascii="Arial" w:hAnsi="Arial" w:cs="Arial"/>
          <w:sz w:val="22"/>
        </w:rPr>
        <w:t>.</w:t>
      </w:r>
      <w:bookmarkStart w:id="0" w:name="_GoBack"/>
      <w:bookmarkEnd w:id="0"/>
    </w:p>
    <w:p w:rsidR="00730E1F" w:rsidRPr="00C9277E" w:rsidRDefault="00730E1F" w:rsidP="007D41F6">
      <w:pPr>
        <w:rPr>
          <w:rFonts w:ascii="Arial" w:hAnsi="Arial" w:cs="Arial"/>
          <w:sz w:val="22"/>
        </w:rPr>
      </w:pPr>
    </w:p>
    <w:sectPr w:rsidR="00730E1F" w:rsidRPr="00C9277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B4E" w:rsidRDefault="007E7B4E" w:rsidP="0006686F">
      <w:r>
        <w:separator/>
      </w:r>
    </w:p>
  </w:endnote>
  <w:endnote w:type="continuationSeparator" w:id="0">
    <w:p w:rsidR="007E7B4E" w:rsidRDefault="007E7B4E" w:rsidP="0006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004504"/>
      <w:docPartObj>
        <w:docPartGallery w:val="Page Numbers (Bottom of Page)"/>
        <w:docPartUnique/>
      </w:docPartObj>
    </w:sdtPr>
    <w:sdtEndPr>
      <w:rPr>
        <w:noProof/>
      </w:rPr>
    </w:sdtEndPr>
    <w:sdtContent>
      <w:p w:rsidR="0006686F" w:rsidRDefault="0006686F">
        <w:pPr>
          <w:pStyle w:val="Footer"/>
          <w:jc w:val="center"/>
        </w:pPr>
        <w:r>
          <w:fldChar w:fldCharType="begin"/>
        </w:r>
        <w:r>
          <w:instrText xml:space="preserve"> PAGE   \* MERGEFORMAT </w:instrText>
        </w:r>
        <w:r>
          <w:fldChar w:fldCharType="separate"/>
        </w:r>
        <w:r w:rsidR="00EB3E40">
          <w:rPr>
            <w:noProof/>
          </w:rPr>
          <w:t>3</w:t>
        </w:r>
        <w:r>
          <w:rPr>
            <w:noProof/>
          </w:rPr>
          <w:fldChar w:fldCharType="end"/>
        </w:r>
      </w:p>
    </w:sdtContent>
  </w:sdt>
  <w:p w:rsidR="0006686F" w:rsidRDefault="000668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B4E" w:rsidRDefault="007E7B4E" w:rsidP="0006686F">
      <w:r>
        <w:separator/>
      </w:r>
    </w:p>
  </w:footnote>
  <w:footnote w:type="continuationSeparator" w:id="0">
    <w:p w:rsidR="007E7B4E" w:rsidRDefault="007E7B4E" w:rsidP="000668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154E6"/>
    <w:multiLevelType w:val="hybridMultilevel"/>
    <w:tmpl w:val="7248A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87C2482"/>
    <w:multiLevelType w:val="hybridMultilevel"/>
    <w:tmpl w:val="DC58C4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7D8C2593"/>
    <w:multiLevelType w:val="hybridMultilevel"/>
    <w:tmpl w:val="7AC6951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053"/>
    <w:rsid w:val="00052496"/>
    <w:rsid w:val="0006686F"/>
    <w:rsid w:val="00092677"/>
    <w:rsid w:val="000F5202"/>
    <w:rsid w:val="001508A4"/>
    <w:rsid w:val="001A0F6B"/>
    <w:rsid w:val="001F3E81"/>
    <w:rsid w:val="00227908"/>
    <w:rsid w:val="00250279"/>
    <w:rsid w:val="002E303F"/>
    <w:rsid w:val="002E614F"/>
    <w:rsid w:val="00332CC7"/>
    <w:rsid w:val="003C10CE"/>
    <w:rsid w:val="004536D1"/>
    <w:rsid w:val="00454912"/>
    <w:rsid w:val="004D6F52"/>
    <w:rsid w:val="00580A82"/>
    <w:rsid w:val="00660BEB"/>
    <w:rsid w:val="006947F7"/>
    <w:rsid w:val="007221D3"/>
    <w:rsid w:val="00730E1F"/>
    <w:rsid w:val="00771BBD"/>
    <w:rsid w:val="00792F76"/>
    <w:rsid w:val="007A7D0C"/>
    <w:rsid w:val="007D41F6"/>
    <w:rsid w:val="007E230C"/>
    <w:rsid w:val="007E7B4E"/>
    <w:rsid w:val="008174E0"/>
    <w:rsid w:val="00830613"/>
    <w:rsid w:val="008369FB"/>
    <w:rsid w:val="008429EB"/>
    <w:rsid w:val="00877D06"/>
    <w:rsid w:val="008B3B2C"/>
    <w:rsid w:val="008E2587"/>
    <w:rsid w:val="008E2F3F"/>
    <w:rsid w:val="00950E09"/>
    <w:rsid w:val="00A00583"/>
    <w:rsid w:val="00A32D7F"/>
    <w:rsid w:val="00A34618"/>
    <w:rsid w:val="00A56C5E"/>
    <w:rsid w:val="00A77550"/>
    <w:rsid w:val="00B164A9"/>
    <w:rsid w:val="00B66502"/>
    <w:rsid w:val="00B6790F"/>
    <w:rsid w:val="00BA553F"/>
    <w:rsid w:val="00BF2DB8"/>
    <w:rsid w:val="00C01053"/>
    <w:rsid w:val="00C354C9"/>
    <w:rsid w:val="00C9277E"/>
    <w:rsid w:val="00CE6329"/>
    <w:rsid w:val="00D313EF"/>
    <w:rsid w:val="00D52C18"/>
    <w:rsid w:val="00E31E73"/>
    <w:rsid w:val="00E41A0D"/>
    <w:rsid w:val="00EB3E40"/>
    <w:rsid w:val="00EE17F5"/>
    <w:rsid w:val="00F14834"/>
    <w:rsid w:val="00F75CDE"/>
    <w:rsid w:val="00FC0CBA"/>
    <w:rsid w:val="00FE3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053"/>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618"/>
    <w:pPr>
      <w:ind w:left="720"/>
    </w:pPr>
  </w:style>
  <w:style w:type="character" w:styleId="Hyperlink">
    <w:name w:val="Hyperlink"/>
    <w:basedOn w:val="DefaultParagraphFont"/>
    <w:uiPriority w:val="99"/>
    <w:semiHidden/>
    <w:unhideWhenUsed/>
    <w:rsid w:val="00A34618"/>
    <w:rPr>
      <w:color w:val="0000FF"/>
      <w:u w:val="single"/>
    </w:rPr>
  </w:style>
  <w:style w:type="paragraph" w:styleId="Header">
    <w:name w:val="header"/>
    <w:basedOn w:val="Normal"/>
    <w:link w:val="HeaderChar"/>
    <w:uiPriority w:val="99"/>
    <w:unhideWhenUsed/>
    <w:rsid w:val="0006686F"/>
    <w:pPr>
      <w:tabs>
        <w:tab w:val="center" w:pos="4513"/>
        <w:tab w:val="right" w:pos="9026"/>
      </w:tabs>
    </w:pPr>
  </w:style>
  <w:style w:type="character" w:customStyle="1" w:styleId="HeaderChar">
    <w:name w:val="Header Char"/>
    <w:basedOn w:val="DefaultParagraphFont"/>
    <w:link w:val="Header"/>
    <w:uiPriority w:val="99"/>
    <w:rsid w:val="0006686F"/>
    <w:rPr>
      <w:rFonts w:ascii="Times New Roman" w:hAnsi="Times New Roman" w:cs="Times New Roman"/>
      <w:sz w:val="24"/>
      <w:szCs w:val="24"/>
      <w:lang w:eastAsia="en-GB"/>
    </w:rPr>
  </w:style>
  <w:style w:type="paragraph" w:styleId="Footer">
    <w:name w:val="footer"/>
    <w:basedOn w:val="Normal"/>
    <w:link w:val="FooterChar"/>
    <w:uiPriority w:val="99"/>
    <w:unhideWhenUsed/>
    <w:rsid w:val="0006686F"/>
    <w:pPr>
      <w:tabs>
        <w:tab w:val="center" w:pos="4513"/>
        <w:tab w:val="right" w:pos="9026"/>
      </w:tabs>
    </w:pPr>
  </w:style>
  <w:style w:type="character" w:customStyle="1" w:styleId="FooterChar">
    <w:name w:val="Footer Char"/>
    <w:basedOn w:val="DefaultParagraphFont"/>
    <w:link w:val="Footer"/>
    <w:uiPriority w:val="99"/>
    <w:rsid w:val="0006686F"/>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6790F"/>
    <w:rPr>
      <w:rFonts w:ascii="Tahoma" w:hAnsi="Tahoma" w:cs="Tahoma"/>
      <w:sz w:val="16"/>
      <w:szCs w:val="16"/>
    </w:rPr>
  </w:style>
  <w:style w:type="character" w:customStyle="1" w:styleId="BalloonTextChar">
    <w:name w:val="Balloon Text Char"/>
    <w:basedOn w:val="DefaultParagraphFont"/>
    <w:link w:val="BalloonText"/>
    <w:uiPriority w:val="99"/>
    <w:semiHidden/>
    <w:rsid w:val="00B6790F"/>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053"/>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618"/>
    <w:pPr>
      <w:ind w:left="720"/>
    </w:pPr>
  </w:style>
  <w:style w:type="character" w:styleId="Hyperlink">
    <w:name w:val="Hyperlink"/>
    <w:basedOn w:val="DefaultParagraphFont"/>
    <w:uiPriority w:val="99"/>
    <w:semiHidden/>
    <w:unhideWhenUsed/>
    <w:rsid w:val="00A34618"/>
    <w:rPr>
      <w:color w:val="0000FF"/>
      <w:u w:val="single"/>
    </w:rPr>
  </w:style>
  <w:style w:type="paragraph" w:styleId="Header">
    <w:name w:val="header"/>
    <w:basedOn w:val="Normal"/>
    <w:link w:val="HeaderChar"/>
    <w:uiPriority w:val="99"/>
    <w:unhideWhenUsed/>
    <w:rsid w:val="0006686F"/>
    <w:pPr>
      <w:tabs>
        <w:tab w:val="center" w:pos="4513"/>
        <w:tab w:val="right" w:pos="9026"/>
      </w:tabs>
    </w:pPr>
  </w:style>
  <w:style w:type="character" w:customStyle="1" w:styleId="HeaderChar">
    <w:name w:val="Header Char"/>
    <w:basedOn w:val="DefaultParagraphFont"/>
    <w:link w:val="Header"/>
    <w:uiPriority w:val="99"/>
    <w:rsid w:val="0006686F"/>
    <w:rPr>
      <w:rFonts w:ascii="Times New Roman" w:hAnsi="Times New Roman" w:cs="Times New Roman"/>
      <w:sz w:val="24"/>
      <w:szCs w:val="24"/>
      <w:lang w:eastAsia="en-GB"/>
    </w:rPr>
  </w:style>
  <w:style w:type="paragraph" w:styleId="Footer">
    <w:name w:val="footer"/>
    <w:basedOn w:val="Normal"/>
    <w:link w:val="FooterChar"/>
    <w:uiPriority w:val="99"/>
    <w:unhideWhenUsed/>
    <w:rsid w:val="0006686F"/>
    <w:pPr>
      <w:tabs>
        <w:tab w:val="center" w:pos="4513"/>
        <w:tab w:val="right" w:pos="9026"/>
      </w:tabs>
    </w:pPr>
  </w:style>
  <w:style w:type="character" w:customStyle="1" w:styleId="FooterChar">
    <w:name w:val="Footer Char"/>
    <w:basedOn w:val="DefaultParagraphFont"/>
    <w:link w:val="Footer"/>
    <w:uiPriority w:val="99"/>
    <w:rsid w:val="0006686F"/>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6790F"/>
    <w:rPr>
      <w:rFonts w:ascii="Tahoma" w:hAnsi="Tahoma" w:cs="Tahoma"/>
      <w:sz w:val="16"/>
      <w:szCs w:val="16"/>
    </w:rPr>
  </w:style>
  <w:style w:type="character" w:customStyle="1" w:styleId="BalloonTextChar">
    <w:name w:val="Balloon Text Char"/>
    <w:basedOn w:val="DefaultParagraphFont"/>
    <w:link w:val="BalloonText"/>
    <w:uiPriority w:val="99"/>
    <w:semiHidden/>
    <w:rsid w:val="00B6790F"/>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91786">
      <w:bodyDiv w:val="1"/>
      <w:marLeft w:val="0"/>
      <w:marRight w:val="0"/>
      <w:marTop w:val="0"/>
      <w:marBottom w:val="0"/>
      <w:divBdr>
        <w:top w:val="none" w:sz="0" w:space="0" w:color="auto"/>
        <w:left w:val="none" w:sz="0" w:space="0" w:color="auto"/>
        <w:bottom w:val="none" w:sz="0" w:space="0" w:color="auto"/>
        <w:right w:val="none" w:sz="0" w:space="0" w:color="auto"/>
      </w:divBdr>
    </w:div>
    <w:div w:id="416250977">
      <w:bodyDiv w:val="1"/>
      <w:marLeft w:val="0"/>
      <w:marRight w:val="0"/>
      <w:marTop w:val="0"/>
      <w:marBottom w:val="0"/>
      <w:divBdr>
        <w:top w:val="none" w:sz="0" w:space="0" w:color="auto"/>
        <w:left w:val="none" w:sz="0" w:space="0" w:color="auto"/>
        <w:bottom w:val="none" w:sz="0" w:space="0" w:color="auto"/>
        <w:right w:val="none" w:sz="0" w:space="0" w:color="auto"/>
      </w:divBdr>
    </w:div>
    <w:div w:id="922952804">
      <w:bodyDiv w:val="1"/>
      <w:marLeft w:val="0"/>
      <w:marRight w:val="0"/>
      <w:marTop w:val="0"/>
      <w:marBottom w:val="0"/>
      <w:divBdr>
        <w:top w:val="none" w:sz="0" w:space="0" w:color="auto"/>
        <w:left w:val="none" w:sz="0" w:space="0" w:color="auto"/>
        <w:bottom w:val="none" w:sz="0" w:space="0" w:color="auto"/>
        <w:right w:val="none" w:sz="0" w:space="0" w:color="auto"/>
      </w:divBdr>
    </w:div>
    <w:div w:id="943616389">
      <w:bodyDiv w:val="1"/>
      <w:marLeft w:val="0"/>
      <w:marRight w:val="0"/>
      <w:marTop w:val="0"/>
      <w:marBottom w:val="0"/>
      <w:divBdr>
        <w:top w:val="none" w:sz="0" w:space="0" w:color="auto"/>
        <w:left w:val="none" w:sz="0" w:space="0" w:color="auto"/>
        <w:bottom w:val="none" w:sz="0" w:space="0" w:color="auto"/>
        <w:right w:val="none" w:sz="0" w:space="0" w:color="auto"/>
      </w:divBdr>
    </w:div>
    <w:div w:id="1337151382">
      <w:bodyDiv w:val="1"/>
      <w:marLeft w:val="0"/>
      <w:marRight w:val="0"/>
      <w:marTop w:val="0"/>
      <w:marBottom w:val="0"/>
      <w:divBdr>
        <w:top w:val="none" w:sz="0" w:space="0" w:color="auto"/>
        <w:left w:val="none" w:sz="0" w:space="0" w:color="auto"/>
        <w:bottom w:val="none" w:sz="0" w:space="0" w:color="auto"/>
        <w:right w:val="none" w:sz="0" w:space="0" w:color="auto"/>
      </w:divBdr>
    </w:div>
    <w:div w:id="1388649210">
      <w:bodyDiv w:val="1"/>
      <w:marLeft w:val="0"/>
      <w:marRight w:val="0"/>
      <w:marTop w:val="0"/>
      <w:marBottom w:val="0"/>
      <w:divBdr>
        <w:top w:val="none" w:sz="0" w:space="0" w:color="auto"/>
        <w:left w:val="none" w:sz="0" w:space="0" w:color="auto"/>
        <w:bottom w:val="none" w:sz="0" w:space="0" w:color="auto"/>
        <w:right w:val="none" w:sz="0" w:space="0" w:color="auto"/>
      </w:divBdr>
    </w:div>
    <w:div w:id="1626234446">
      <w:bodyDiv w:val="1"/>
      <w:marLeft w:val="0"/>
      <w:marRight w:val="0"/>
      <w:marTop w:val="0"/>
      <w:marBottom w:val="0"/>
      <w:divBdr>
        <w:top w:val="none" w:sz="0" w:space="0" w:color="auto"/>
        <w:left w:val="none" w:sz="0" w:space="0" w:color="auto"/>
        <w:bottom w:val="none" w:sz="0" w:space="0" w:color="auto"/>
        <w:right w:val="none" w:sz="0" w:space="0" w:color="auto"/>
      </w:divBdr>
    </w:div>
    <w:div w:id="1742213510">
      <w:bodyDiv w:val="1"/>
      <w:marLeft w:val="0"/>
      <w:marRight w:val="0"/>
      <w:marTop w:val="0"/>
      <w:marBottom w:val="0"/>
      <w:divBdr>
        <w:top w:val="none" w:sz="0" w:space="0" w:color="auto"/>
        <w:left w:val="none" w:sz="0" w:space="0" w:color="auto"/>
        <w:bottom w:val="none" w:sz="0" w:space="0" w:color="auto"/>
        <w:right w:val="none" w:sz="0" w:space="0" w:color="auto"/>
      </w:divBdr>
    </w:div>
    <w:div w:id="1915428485">
      <w:bodyDiv w:val="1"/>
      <w:marLeft w:val="0"/>
      <w:marRight w:val="0"/>
      <w:marTop w:val="0"/>
      <w:marBottom w:val="0"/>
      <w:divBdr>
        <w:top w:val="none" w:sz="0" w:space="0" w:color="auto"/>
        <w:left w:val="none" w:sz="0" w:space="0" w:color="auto"/>
        <w:bottom w:val="none" w:sz="0" w:space="0" w:color="auto"/>
        <w:right w:val="none" w:sz="0" w:space="0" w:color="auto"/>
      </w:divBdr>
    </w:div>
    <w:div w:id="204853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648D1-9AB1-451D-894E-996CEF4EA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2226</Words>
  <Characters>12691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Strudwick</dc:creator>
  <cp:lastModifiedBy>Meyrick</cp:lastModifiedBy>
  <cp:revision>4</cp:revision>
  <cp:lastPrinted>2015-11-17T16:06:00Z</cp:lastPrinted>
  <dcterms:created xsi:type="dcterms:W3CDTF">2015-11-17T17:28:00Z</dcterms:created>
  <dcterms:modified xsi:type="dcterms:W3CDTF">2015-11-17T17:41:00Z</dcterms:modified>
</cp:coreProperties>
</file>