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04" w:rsidRPr="004444ED" w:rsidRDefault="00FE0F04" w:rsidP="004444ED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en-GB"/>
        </w:rPr>
      </w:pPr>
      <w:bookmarkStart w:id="0" w:name="_GoBack"/>
      <w:bookmarkEnd w:id="0"/>
      <w:r w:rsidRPr="004444E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en-GB"/>
        </w:rPr>
        <w:t>St</w:t>
      </w:r>
      <w:r w:rsidR="004444ED" w:rsidRPr="004444E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en-GB"/>
        </w:rPr>
        <w:t xml:space="preserve">atement by WAG and </w:t>
      </w:r>
      <w:proofErr w:type="spellStart"/>
      <w:r w:rsidR="004444ED" w:rsidRPr="004444E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en-GB"/>
        </w:rPr>
        <w:t>WeHeartHart</w:t>
      </w:r>
      <w:proofErr w:type="spellEnd"/>
      <w:r w:rsidR="004444ED" w:rsidRPr="004444E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en-GB"/>
        </w:rPr>
        <w:t xml:space="preserve"> 18 </w:t>
      </w:r>
      <w:r w:rsidRPr="004444E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en-GB"/>
        </w:rPr>
        <w:t>Nov 2015</w:t>
      </w:r>
    </w:p>
    <w:p w:rsidR="00FE0F04" w:rsidRDefault="00FE0F04" w:rsidP="00507C3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n-GB"/>
        </w:rPr>
      </w:pPr>
    </w:p>
    <w:p w:rsidR="00507C32" w:rsidRDefault="00507C32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n-GB"/>
        </w:rPr>
      </w:pPr>
    </w:p>
    <w:p w:rsidR="00FE0F04" w:rsidRDefault="00FE0F04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n-GB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We welcome Hart’s new Consultation on the Housing Options. </w:t>
      </w:r>
    </w:p>
    <w:p w:rsidR="00FE0F04" w:rsidRPr="00507C32" w:rsidRDefault="00FE0F04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7938FC" w:rsidRDefault="00FE0F04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  <w:r>
        <w:rPr>
          <w:rFonts w:ascii="Arial" w:eastAsia="Times New Roman" w:hAnsi="Arial" w:cs="Arial"/>
          <w:color w:val="222222"/>
          <w:szCs w:val="19"/>
          <w:lang w:eastAsia="en-GB"/>
        </w:rPr>
        <w:t>However, i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>n ou</w:t>
      </w:r>
      <w:r>
        <w:rPr>
          <w:rFonts w:ascii="Arial" w:eastAsia="Times New Roman" w:hAnsi="Arial" w:cs="Arial"/>
          <w:color w:val="222222"/>
          <w:szCs w:val="19"/>
          <w:lang w:eastAsia="en-GB"/>
        </w:rPr>
        <w:t xml:space="preserve">r opinion the Options document 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does not present a fair </w:t>
      </w:r>
      <w:r>
        <w:rPr>
          <w:rFonts w:ascii="Arial" w:eastAsia="Times New Roman" w:hAnsi="Arial" w:cs="Arial"/>
          <w:color w:val="222222"/>
          <w:szCs w:val="19"/>
          <w:lang w:eastAsia="en-GB"/>
        </w:rPr>
        <w:t>and balanced analysis of the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 pros and cons of the </w:t>
      </w:r>
      <w:r>
        <w:rPr>
          <w:rFonts w:ascii="Arial" w:eastAsia="Times New Roman" w:hAnsi="Arial" w:cs="Arial"/>
          <w:color w:val="222222"/>
          <w:szCs w:val="19"/>
          <w:lang w:eastAsia="en-GB"/>
        </w:rPr>
        <w:t>t</w:t>
      </w:r>
      <w:r w:rsidR="007938FC">
        <w:rPr>
          <w:rFonts w:ascii="Arial" w:eastAsia="Times New Roman" w:hAnsi="Arial" w:cs="Arial"/>
          <w:color w:val="222222"/>
          <w:szCs w:val="19"/>
          <w:lang w:eastAsia="en-GB"/>
        </w:rPr>
        <w:t>hree Approaches, and it</w:t>
      </w:r>
      <w:r w:rsidR="00A83D39">
        <w:rPr>
          <w:rFonts w:ascii="Arial" w:eastAsia="Times New Roman" w:hAnsi="Arial" w:cs="Arial"/>
          <w:color w:val="222222"/>
          <w:szCs w:val="19"/>
          <w:lang w:eastAsia="en-GB"/>
        </w:rPr>
        <w:t xml:space="preserve"> is therefore invalid as the basis for a public consultation.</w:t>
      </w:r>
      <w:r w:rsidR="004606FF">
        <w:rPr>
          <w:rFonts w:ascii="Arial" w:eastAsia="Times New Roman" w:hAnsi="Arial" w:cs="Arial"/>
          <w:color w:val="222222"/>
          <w:szCs w:val="19"/>
          <w:lang w:eastAsia="en-GB"/>
        </w:rPr>
        <w:t xml:space="preserve"> </w:t>
      </w:r>
    </w:p>
    <w:p w:rsidR="004606FF" w:rsidRDefault="004606FF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</w:p>
    <w:p w:rsidR="004606FF" w:rsidRDefault="004606FF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  <w:r>
        <w:rPr>
          <w:rFonts w:ascii="Arial" w:eastAsia="Times New Roman" w:hAnsi="Arial" w:cs="Arial"/>
          <w:color w:val="222222"/>
          <w:szCs w:val="19"/>
          <w:lang w:eastAsia="en-GB"/>
        </w:rPr>
        <w:t>We have sent a detailed document to Hart explaining all the issues – this statement gives a few examples to illustrate the problem.</w:t>
      </w:r>
    </w:p>
    <w:p w:rsidR="007938FC" w:rsidRDefault="007938FC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</w:p>
    <w:p w:rsidR="00A83D39" w:rsidRDefault="007938FC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  <w:r>
        <w:rPr>
          <w:rFonts w:ascii="Arial" w:eastAsia="Times New Roman" w:hAnsi="Arial" w:cs="Arial"/>
          <w:color w:val="222222"/>
          <w:szCs w:val="19"/>
          <w:lang w:eastAsia="en-GB"/>
        </w:rPr>
        <w:t>There are two key issues which have been misrepresented. First,</w:t>
      </w:r>
      <w:r w:rsidR="00BD6729">
        <w:rPr>
          <w:rFonts w:ascii="Arial" w:eastAsia="Times New Roman" w:hAnsi="Arial" w:cs="Arial"/>
          <w:color w:val="222222"/>
          <w:szCs w:val="19"/>
          <w:lang w:eastAsia="en-GB"/>
        </w:rPr>
        <w:t xml:space="preserve"> </w:t>
      </w:r>
      <w:r w:rsidR="004606FF">
        <w:rPr>
          <w:rFonts w:ascii="Arial" w:eastAsia="Times New Roman" w:hAnsi="Arial" w:cs="Arial"/>
          <w:color w:val="222222"/>
          <w:szCs w:val="19"/>
          <w:lang w:eastAsia="en-GB"/>
        </w:rPr>
        <w:t xml:space="preserve">in the Options document </w:t>
      </w:r>
      <w:r w:rsidR="00BD6729">
        <w:rPr>
          <w:rFonts w:ascii="Arial" w:eastAsia="Times New Roman" w:hAnsi="Arial" w:cs="Arial"/>
          <w:color w:val="222222"/>
          <w:szCs w:val="19"/>
          <w:lang w:eastAsia="en-GB"/>
        </w:rPr>
        <w:t xml:space="preserve">Brownfield site capacity is </w:t>
      </w:r>
      <w:r>
        <w:rPr>
          <w:rFonts w:ascii="Arial" w:eastAsia="Times New Roman" w:hAnsi="Arial" w:cs="Arial"/>
          <w:color w:val="222222"/>
          <w:szCs w:val="19"/>
          <w:lang w:eastAsia="en-GB"/>
        </w:rPr>
        <w:t xml:space="preserve">estimated as </w:t>
      </w:r>
      <w:r w:rsidR="00BD6729">
        <w:rPr>
          <w:rFonts w:ascii="Arial" w:eastAsia="Times New Roman" w:hAnsi="Arial" w:cs="Arial"/>
          <w:color w:val="222222"/>
          <w:szCs w:val="19"/>
          <w:lang w:eastAsia="en-GB"/>
        </w:rPr>
        <w:t>400 homes when in October Hart estimated the capacity to be 1</w:t>
      </w:r>
      <w:r w:rsidR="00A83D39">
        <w:rPr>
          <w:rFonts w:ascii="Arial" w:eastAsia="Times New Roman" w:hAnsi="Arial" w:cs="Arial"/>
          <w:color w:val="222222"/>
          <w:szCs w:val="19"/>
          <w:lang w:eastAsia="en-GB"/>
        </w:rPr>
        <w:t>,</w:t>
      </w:r>
      <w:r w:rsidR="00BD6729">
        <w:rPr>
          <w:rFonts w:ascii="Arial" w:eastAsia="Times New Roman" w:hAnsi="Arial" w:cs="Arial"/>
          <w:color w:val="222222"/>
          <w:szCs w:val="19"/>
          <w:lang w:eastAsia="en-GB"/>
        </w:rPr>
        <w:t xml:space="preserve">800 homes. </w:t>
      </w:r>
      <w:r>
        <w:rPr>
          <w:rFonts w:ascii="Arial" w:eastAsia="Times New Roman" w:hAnsi="Arial" w:cs="Arial"/>
          <w:color w:val="222222"/>
          <w:szCs w:val="19"/>
          <w:lang w:eastAsia="en-GB"/>
        </w:rPr>
        <w:t>S</w:t>
      </w:r>
      <w:r w:rsidR="00BD6729">
        <w:rPr>
          <w:rFonts w:ascii="Arial" w:eastAsia="Times New Roman" w:hAnsi="Arial" w:cs="Arial"/>
          <w:color w:val="222222"/>
          <w:szCs w:val="19"/>
          <w:lang w:eastAsia="en-GB"/>
        </w:rPr>
        <w:t>econd</w:t>
      </w:r>
      <w:r>
        <w:rPr>
          <w:rFonts w:ascii="Arial" w:eastAsia="Times New Roman" w:hAnsi="Arial" w:cs="Arial"/>
          <w:color w:val="222222"/>
          <w:szCs w:val="19"/>
          <w:lang w:eastAsia="en-GB"/>
        </w:rPr>
        <w:t xml:space="preserve">, Hart’s Objectively Assessed Need for homes is based </w:t>
      </w:r>
      <w:r w:rsidR="00BD6729">
        <w:rPr>
          <w:rFonts w:ascii="Arial" w:eastAsia="Times New Roman" w:hAnsi="Arial" w:cs="Arial"/>
          <w:color w:val="222222"/>
          <w:szCs w:val="19"/>
          <w:lang w:eastAsia="en-GB"/>
        </w:rPr>
        <w:t>DCLG</w:t>
      </w:r>
      <w:r w:rsidR="00A83D39">
        <w:rPr>
          <w:rFonts w:ascii="Arial" w:eastAsia="Times New Roman" w:hAnsi="Arial" w:cs="Arial"/>
          <w:color w:val="222222"/>
          <w:szCs w:val="19"/>
          <w:lang w:eastAsia="en-GB"/>
        </w:rPr>
        <w:t>’s 2011</w:t>
      </w:r>
      <w:r w:rsidR="004444ED">
        <w:rPr>
          <w:rFonts w:ascii="Arial" w:eastAsia="Times New Roman" w:hAnsi="Arial" w:cs="Arial"/>
          <w:color w:val="222222"/>
          <w:szCs w:val="19"/>
          <w:lang w:eastAsia="en-GB"/>
        </w:rPr>
        <w:t xml:space="preserve"> based</w:t>
      </w:r>
      <w:r w:rsidR="00BD6729">
        <w:rPr>
          <w:rFonts w:ascii="Arial" w:eastAsia="Times New Roman" w:hAnsi="Arial" w:cs="Arial"/>
          <w:color w:val="222222"/>
          <w:szCs w:val="19"/>
          <w:lang w:eastAsia="en-GB"/>
        </w:rPr>
        <w:t xml:space="preserve"> forecasts </w:t>
      </w:r>
      <w:r w:rsidR="004444ED">
        <w:rPr>
          <w:rFonts w:ascii="Arial" w:eastAsia="Times New Roman" w:hAnsi="Arial" w:cs="Arial"/>
          <w:color w:val="222222"/>
          <w:szCs w:val="19"/>
          <w:lang w:eastAsia="en-GB"/>
        </w:rPr>
        <w:t xml:space="preserve">and has </w:t>
      </w:r>
      <w:r w:rsidR="00A83D39">
        <w:rPr>
          <w:rFonts w:ascii="Arial" w:eastAsia="Times New Roman" w:hAnsi="Arial" w:cs="Arial"/>
          <w:color w:val="222222"/>
          <w:szCs w:val="19"/>
          <w:lang w:eastAsia="en-GB"/>
        </w:rPr>
        <w:t>b</w:t>
      </w:r>
      <w:r w:rsidR="002832DF">
        <w:rPr>
          <w:rFonts w:ascii="Arial" w:eastAsia="Times New Roman" w:hAnsi="Arial" w:cs="Arial"/>
          <w:color w:val="222222"/>
          <w:szCs w:val="19"/>
          <w:lang w:eastAsia="en-GB"/>
        </w:rPr>
        <w:t>een radically revised downwards</w:t>
      </w:r>
      <w:r w:rsidR="002832DF">
        <w:rPr>
          <w:rFonts w:ascii="Arial" w:eastAsia="Times New Roman" w:hAnsi="Arial" w:cs="Arial"/>
          <w:color w:val="FF0000"/>
          <w:szCs w:val="19"/>
          <w:lang w:eastAsia="en-GB"/>
        </w:rPr>
        <w:t xml:space="preserve"> </w:t>
      </w:r>
      <w:r w:rsidR="002832DF" w:rsidRPr="004444ED">
        <w:rPr>
          <w:rFonts w:ascii="Arial" w:eastAsia="Times New Roman" w:hAnsi="Arial" w:cs="Arial"/>
          <w:szCs w:val="19"/>
          <w:lang w:eastAsia="en-GB"/>
        </w:rPr>
        <w:t>in a report received by Hart from a distinguished planning consultant.</w:t>
      </w:r>
    </w:p>
    <w:p w:rsidR="007938FC" w:rsidRDefault="007938FC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</w:p>
    <w:p w:rsidR="006B0441" w:rsidRDefault="00A83D39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  <w:r>
        <w:rPr>
          <w:rFonts w:ascii="Arial" w:eastAsia="Times New Roman" w:hAnsi="Arial" w:cs="Arial"/>
          <w:color w:val="222222"/>
          <w:szCs w:val="19"/>
          <w:lang w:eastAsia="en-GB"/>
        </w:rPr>
        <w:t>Apart from the</w:t>
      </w:r>
      <w:r w:rsidR="001340A3">
        <w:rPr>
          <w:rFonts w:ascii="Arial" w:eastAsia="Times New Roman" w:hAnsi="Arial" w:cs="Arial"/>
          <w:color w:val="222222"/>
          <w:szCs w:val="19"/>
          <w:lang w:eastAsia="en-GB"/>
        </w:rPr>
        <w:t xml:space="preserve">se key issues the Options document is written in a way which is 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unfairly biased towards the development of </w:t>
      </w:r>
      <w:r w:rsidR="001340A3">
        <w:rPr>
          <w:rFonts w:ascii="Arial" w:eastAsia="Times New Roman" w:hAnsi="Arial" w:cs="Arial"/>
          <w:color w:val="222222"/>
          <w:szCs w:val="19"/>
          <w:lang w:eastAsia="en-GB"/>
        </w:rPr>
        <w:t xml:space="preserve">a 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Winchfield New </w:t>
      </w:r>
      <w:r w:rsidR="001340A3">
        <w:rPr>
          <w:rFonts w:ascii="Arial" w:eastAsia="Times New Roman" w:hAnsi="Arial" w:cs="Arial"/>
          <w:color w:val="222222"/>
          <w:szCs w:val="19"/>
          <w:lang w:eastAsia="en-GB"/>
        </w:rPr>
        <w:t>Settlement.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 </w:t>
      </w:r>
      <w:r w:rsidR="001340A3">
        <w:rPr>
          <w:rFonts w:ascii="Arial" w:eastAsia="Times New Roman" w:hAnsi="Arial" w:cs="Arial"/>
          <w:color w:val="222222"/>
          <w:szCs w:val="19"/>
          <w:lang w:eastAsia="en-GB"/>
        </w:rPr>
        <w:t xml:space="preserve">A good example of this bias is the Tables of the 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Advantages/Disadvantages of </w:t>
      </w:r>
      <w:r w:rsidR="001340A3">
        <w:rPr>
          <w:rFonts w:ascii="Arial" w:eastAsia="Times New Roman" w:hAnsi="Arial" w:cs="Arial"/>
          <w:color w:val="222222"/>
          <w:szCs w:val="19"/>
          <w:lang w:eastAsia="en-GB"/>
        </w:rPr>
        <w:t>the three Approaches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 (</w:t>
      </w:r>
      <w:r w:rsidR="001340A3">
        <w:rPr>
          <w:rFonts w:ascii="Arial" w:eastAsia="Times New Roman" w:hAnsi="Arial" w:cs="Arial"/>
          <w:color w:val="222222"/>
          <w:szCs w:val="19"/>
          <w:lang w:eastAsia="en-GB"/>
        </w:rPr>
        <w:t xml:space="preserve">on pages </w:t>
      </w:r>
      <w:r w:rsidR="00E25CAA">
        <w:rPr>
          <w:rFonts w:ascii="Arial" w:eastAsia="Times New Roman" w:hAnsi="Arial" w:cs="Arial"/>
          <w:color w:val="222222"/>
          <w:szCs w:val="19"/>
          <w:lang w:eastAsia="en-GB"/>
        </w:rPr>
        <w:t xml:space="preserve">32, </w:t>
      </w:r>
      <w:r w:rsidR="006B0441">
        <w:rPr>
          <w:rFonts w:ascii="Arial" w:eastAsia="Times New Roman" w:hAnsi="Arial" w:cs="Arial"/>
          <w:color w:val="222222"/>
          <w:szCs w:val="19"/>
          <w:lang w:eastAsia="en-GB"/>
        </w:rPr>
        <w:t>35 and 41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). </w:t>
      </w:r>
    </w:p>
    <w:p w:rsidR="006B0441" w:rsidRDefault="006B0441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</w:p>
    <w:p w:rsidR="00507C32" w:rsidRDefault="00507C32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  <w:r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The most serious disadvantage of Approach 3 is that it would provide abundant capacity for Hart to accept overflow housing from the much more urbanised districts of Rushmoor and Surrey Heath. </w:t>
      </w:r>
      <w:r w:rsidR="006B0441">
        <w:rPr>
          <w:rFonts w:ascii="Arial" w:eastAsia="Times New Roman" w:hAnsi="Arial" w:cs="Arial"/>
          <w:color w:val="222222"/>
          <w:szCs w:val="19"/>
          <w:lang w:eastAsia="en-GB"/>
        </w:rPr>
        <w:t>This disadvantage was</w:t>
      </w:r>
      <w:r w:rsidR="006B0441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 listed in the Nov 2014 consultation </w:t>
      </w:r>
      <w:r w:rsidR="006B0441">
        <w:rPr>
          <w:rFonts w:ascii="Arial" w:eastAsia="Times New Roman" w:hAnsi="Arial" w:cs="Arial"/>
          <w:color w:val="222222"/>
          <w:szCs w:val="19"/>
          <w:lang w:eastAsia="en-GB"/>
        </w:rPr>
        <w:t xml:space="preserve">so its omission in the current Options document must be a deliberate bias. </w:t>
      </w:r>
    </w:p>
    <w:p w:rsidR="006B0441" w:rsidRPr="00507C32" w:rsidRDefault="006B0441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</w:p>
    <w:p w:rsidR="00507C32" w:rsidRPr="00507C32" w:rsidRDefault="00507C32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  <w:r w:rsidRPr="00507C32">
        <w:rPr>
          <w:rFonts w:ascii="Arial" w:eastAsia="Times New Roman" w:hAnsi="Arial" w:cs="Arial"/>
          <w:color w:val="222222"/>
          <w:szCs w:val="19"/>
          <w:lang w:eastAsia="en-GB"/>
        </w:rPr>
        <w:t>A</w:t>
      </w:r>
      <w:r w:rsidR="00E25CAA">
        <w:rPr>
          <w:rFonts w:ascii="Arial" w:eastAsia="Times New Roman" w:hAnsi="Arial" w:cs="Arial"/>
          <w:color w:val="222222"/>
          <w:szCs w:val="19"/>
          <w:lang w:eastAsia="en-GB"/>
        </w:rPr>
        <w:t xml:space="preserve"> second</w:t>
      </w:r>
      <w:r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 critical disadvantage of Approach 3</w:t>
      </w:r>
      <w:r w:rsidR="006B0441">
        <w:rPr>
          <w:rFonts w:ascii="Arial" w:eastAsia="Times New Roman" w:hAnsi="Arial" w:cs="Arial"/>
          <w:color w:val="222222"/>
          <w:szCs w:val="19"/>
          <w:lang w:eastAsia="en-GB"/>
        </w:rPr>
        <w:t xml:space="preserve"> is that it ruins the </w:t>
      </w:r>
      <w:r w:rsidRPr="00507C32">
        <w:rPr>
          <w:rFonts w:ascii="Arial" w:eastAsia="Times New Roman" w:hAnsi="Arial" w:cs="Arial"/>
          <w:color w:val="222222"/>
          <w:szCs w:val="19"/>
          <w:lang w:eastAsia="en-GB"/>
        </w:rPr>
        <w:t>countryside that lies between Fleet, H/W, Hook and Odiham and provides each of those towns/vil</w:t>
      </w:r>
      <w:r w:rsidR="006B0441">
        <w:rPr>
          <w:rFonts w:ascii="Arial" w:eastAsia="Times New Roman" w:hAnsi="Arial" w:cs="Arial"/>
          <w:color w:val="222222"/>
          <w:szCs w:val="19"/>
          <w:lang w:eastAsia="en-GB"/>
        </w:rPr>
        <w:t>lages with a much-used and much-</w:t>
      </w:r>
      <w:r w:rsidRPr="00507C32">
        <w:rPr>
          <w:rFonts w:ascii="Arial" w:eastAsia="Times New Roman" w:hAnsi="Arial" w:cs="Arial"/>
          <w:color w:val="222222"/>
          <w:szCs w:val="19"/>
          <w:lang w:eastAsia="en-GB"/>
        </w:rPr>
        <w:t>loved amenity and heritage resource. WNT will destroy that amenity and risk coalescence between all those settlements. It is clearly biased to raise coalescence as a risk f</w:t>
      </w:r>
      <w:r w:rsidR="00056D5D">
        <w:rPr>
          <w:rFonts w:ascii="Arial" w:eastAsia="Times New Roman" w:hAnsi="Arial" w:cs="Arial"/>
          <w:color w:val="222222"/>
          <w:szCs w:val="19"/>
          <w:lang w:eastAsia="en-GB"/>
        </w:rPr>
        <w:t>or Approach 2</w:t>
      </w:r>
      <w:r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 but not mention it for Approach 3</w:t>
      </w:r>
      <w:r w:rsidR="00E25CAA">
        <w:rPr>
          <w:rFonts w:ascii="Arial" w:eastAsia="Times New Roman" w:hAnsi="Arial" w:cs="Arial"/>
          <w:color w:val="222222"/>
          <w:szCs w:val="19"/>
          <w:lang w:eastAsia="en-GB"/>
        </w:rPr>
        <w:t>.</w:t>
      </w:r>
    </w:p>
    <w:p w:rsidR="00507C32" w:rsidRPr="00507C32" w:rsidRDefault="00507C32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</w:p>
    <w:p w:rsidR="00507C32" w:rsidRDefault="006B0441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  <w:r>
        <w:rPr>
          <w:rFonts w:ascii="Arial" w:eastAsia="Times New Roman" w:hAnsi="Arial" w:cs="Arial"/>
          <w:color w:val="222222"/>
          <w:szCs w:val="19"/>
          <w:lang w:eastAsia="en-GB"/>
        </w:rPr>
        <w:t>A</w:t>
      </w:r>
      <w:r w:rsidR="00E25CAA">
        <w:rPr>
          <w:rFonts w:ascii="Arial" w:eastAsia="Times New Roman" w:hAnsi="Arial" w:cs="Arial"/>
          <w:color w:val="222222"/>
          <w:szCs w:val="19"/>
          <w:lang w:eastAsia="en-GB"/>
        </w:rPr>
        <w:t xml:space="preserve"> third</w:t>
      </w:r>
      <w:r>
        <w:rPr>
          <w:rFonts w:ascii="Arial" w:eastAsia="Times New Roman" w:hAnsi="Arial" w:cs="Arial"/>
          <w:color w:val="222222"/>
          <w:szCs w:val="19"/>
          <w:lang w:eastAsia="en-GB"/>
        </w:rPr>
        <w:t xml:space="preserve"> example of bias </w:t>
      </w:r>
      <w:r w:rsidR="00E25CAA">
        <w:rPr>
          <w:rFonts w:ascii="Arial" w:eastAsia="Times New Roman" w:hAnsi="Arial" w:cs="Arial"/>
          <w:color w:val="222222"/>
          <w:szCs w:val="19"/>
          <w:lang w:eastAsia="en-GB"/>
        </w:rPr>
        <w:t>is the indefinite statement that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 "new service provision could b</w:t>
      </w:r>
      <w:r w:rsidR="00E25CAA">
        <w:rPr>
          <w:rFonts w:ascii="Arial" w:eastAsia="Times New Roman" w:hAnsi="Arial" w:cs="Arial"/>
          <w:color w:val="222222"/>
          <w:szCs w:val="19"/>
          <w:lang w:eastAsia="en-GB"/>
        </w:rPr>
        <w:t xml:space="preserve">e costly" for Approach 3 versus the definite 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"Would require significant and costly investment in infrastructure" for Approach 2. </w:t>
      </w:r>
      <w:r>
        <w:rPr>
          <w:rFonts w:ascii="Arial" w:eastAsia="Times New Roman" w:hAnsi="Arial" w:cs="Arial"/>
          <w:color w:val="222222"/>
          <w:szCs w:val="19"/>
          <w:lang w:eastAsia="en-GB"/>
        </w:rPr>
        <w:t xml:space="preserve">This hides the truth that the infrastructure cost of a New Settlement will be far higher than the infrastructure costs associated with </w:t>
      </w:r>
      <w:r w:rsidR="00E25CAA">
        <w:rPr>
          <w:rFonts w:ascii="Arial" w:eastAsia="Times New Roman" w:hAnsi="Arial" w:cs="Arial"/>
          <w:color w:val="222222"/>
          <w:szCs w:val="19"/>
          <w:lang w:eastAsia="en-GB"/>
        </w:rPr>
        <w:t xml:space="preserve">equivalent </w:t>
      </w:r>
      <w:r>
        <w:rPr>
          <w:rFonts w:ascii="Arial" w:eastAsia="Times New Roman" w:hAnsi="Arial" w:cs="Arial"/>
          <w:color w:val="222222"/>
          <w:szCs w:val="19"/>
          <w:lang w:eastAsia="en-GB"/>
        </w:rPr>
        <w:t>urban extensions</w:t>
      </w:r>
    </w:p>
    <w:p w:rsidR="006B0441" w:rsidRDefault="006B0441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</w:p>
    <w:p w:rsidR="00507C32" w:rsidRDefault="006B0441" w:rsidP="00E25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  <w:r>
        <w:rPr>
          <w:rFonts w:ascii="Arial" w:eastAsia="Times New Roman" w:hAnsi="Arial" w:cs="Arial"/>
          <w:color w:val="222222"/>
          <w:szCs w:val="19"/>
          <w:lang w:eastAsia="en-GB"/>
        </w:rPr>
        <w:t>A</w:t>
      </w:r>
      <w:r w:rsidR="004606FF">
        <w:rPr>
          <w:rFonts w:ascii="Arial" w:eastAsia="Times New Roman" w:hAnsi="Arial" w:cs="Arial"/>
          <w:color w:val="222222"/>
          <w:szCs w:val="19"/>
          <w:lang w:eastAsia="en-GB"/>
        </w:rPr>
        <w:t xml:space="preserve"> final</w:t>
      </w:r>
      <w:r>
        <w:rPr>
          <w:rFonts w:ascii="Arial" w:eastAsia="Times New Roman" w:hAnsi="Arial" w:cs="Arial"/>
          <w:color w:val="222222"/>
          <w:szCs w:val="19"/>
          <w:lang w:eastAsia="en-GB"/>
        </w:rPr>
        <w:t xml:space="preserve"> example of deliberate bias is the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 map on page 40</w:t>
      </w:r>
      <w:r>
        <w:rPr>
          <w:rFonts w:ascii="Arial" w:eastAsia="Times New Roman" w:hAnsi="Arial" w:cs="Arial"/>
          <w:color w:val="222222"/>
          <w:szCs w:val="19"/>
          <w:lang w:eastAsia="en-GB"/>
        </w:rPr>
        <w:t xml:space="preserve">. 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 xml:space="preserve">The little orange circle </w:t>
      </w:r>
      <w:r>
        <w:rPr>
          <w:rFonts w:ascii="Arial" w:eastAsia="Times New Roman" w:hAnsi="Arial" w:cs="Arial"/>
          <w:color w:val="222222"/>
          <w:szCs w:val="19"/>
          <w:lang w:eastAsia="en-GB"/>
        </w:rPr>
        <w:t xml:space="preserve">representing Winchfield </w:t>
      </w:r>
      <w:r w:rsidR="00E25CAA">
        <w:rPr>
          <w:rFonts w:ascii="Arial" w:eastAsia="Times New Roman" w:hAnsi="Arial" w:cs="Arial"/>
          <w:color w:val="222222"/>
          <w:szCs w:val="19"/>
          <w:lang w:eastAsia="en-GB"/>
        </w:rPr>
        <w:t xml:space="preserve">NT </w:t>
      </w:r>
      <w:r w:rsidR="00507C32" w:rsidRPr="00507C32">
        <w:rPr>
          <w:rFonts w:ascii="Arial" w:eastAsia="Times New Roman" w:hAnsi="Arial" w:cs="Arial"/>
          <w:color w:val="222222"/>
          <w:szCs w:val="19"/>
          <w:lang w:eastAsia="en-GB"/>
        </w:rPr>
        <w:t>seems designed to fool the reader into thinking that WNT will not impact on the Heart of Hart area whereas a true map showing the extent of the proposed Town would paint a very different picture.</w:t>
      </w:r>
    </w:p>
    <w:p w:rsidR="006B0441" w:rsidRDefault="006B0441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</w:p>
    <w:p w:rsidR="006B0441" w:rsidRPr="00507C32" w:rsidRDefault="006B0441" w:rsidP="0050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  <w:lang w:eastAsia="en-GB"/>
        </w:rPr>
      </w:pPr>
    </w:p>
    <w:p w:rsidR="00153FF1" w:rsidRPr="006B0441" w:rsidRDefault="006B0441">
      <w:pPr>
        <w:rPr>
          <w:rFonts w:ascii="Arial" w:hAnsi="Arial" w:cs="Arial"/>
        </w:rPr>
      </w:pPr>
      <w:r w:rsidRPr="006B0441">
        <w:rPr>
          <w:rFonts w:ascii="Arial" w:hAnsi="Arial" w:cs="Arial"/>
        </w:rPr>
        <w:t xml:space="preserve">We strongly </w:t>
      </w:r>
      <w:r>
        <w:rPr>
          <w:rFonts w:ascii="Arial" w:hAnsi="Arial" w:cs="Arial"/>
        </w:rPr>
        <w:t>recommend that Hart delays the publication o</w:t>
      </w:r>
      <w:r w:rsidR="00C71B44">
        <w:rPr>
          <w:rFonts w:ascii="Arial" w:hAnsi="Arial" w:cs="Arial"/>
        </w:rPr>
        <w:t xml:space="preserve">f the Options document until it presents a fair and balanced view of the issues. Failure to do so will result in an invalid consultation which will be open to legal challenge. </w:t>
      </w:r>
    </w:p>
    <w:sectPr w:rsidR="00153FF1" w:rsidRPr="006B0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32"/>
    <w:rsid w:val="00056D5D"/>
    <w:rsid w:val="001340A3"/>
    <w:rsid w:val="00153FF1"/>
    <w:rsid w:val="002832DF"/>
    <w:rsid w:val="004444ED"/>
    <w:rsid w:val="004606FF"/>
    <w:rsid w:val="00507C32"/>
    <w:rsid w:val="006B0441"/>
    <w:rsid w:val="007938FC"/>
    <w:rsid w:val="00A83D39"/>
    <w:rsid w:val="00BD6729"/>
    <w:rsid w:val="00C71B44"/>
    <w:rsid w:val="00E25CAA"/>
    <w:rsid w:val="00F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tristram</dc:creator>
  <cp:lastModifiedBy>Meyrick</cp:lastModifiedBy>
  <cp:revision>2</cp:revision>
  <dcterms:created xsi:type="dcterms:W3CDTF">2015-11-17T17:43:00Z</dcterms:created>
  <dcterms:modified xsi:type="dcterms:W3CDTF">2015-11-17T17:43:00Z</dcterms:modified>
</cp:coreProperties>
</file>